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387900">
      <w:pPr>
        <w:snapToGrid w:val="0"/>
        <w:spacing w:before="100" w:beforeAutospacing="1" w:after="100" w:afterAutospacing="1"/>
        <w:contextualSpacing/>
        <w:rPr>
          <w:rFonts w:ascii="宋体" w:hAnsi="宋体" w:cs="宋体"/>
          <w:b/>
          <w:sz w:val="15"/>
          <w:szCs w:val="15"/>
        </w:rPr>
      </w:pPr>
      <w:r>
        <w:rPr>
          <w:rFonts w:ascii="宋体" w:hAnsi="宋体" w:cs="宋体"/>
          <w:b/>
          <w:sz w:val="15"/>
          <w:szCs w:val="15"/>
        </w:rPr>
        <w:drawing>
          <wp:inline distT="0" distB="0" distL="0" distR="0">
            <wp:extent cx="654685" cy="5219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5200" cy="522000"/>
                    </a:xfrm>
                    <a:prstGeom prst="rect">
                      <a:avLst/>
                    </a:prstGeom>
                  </pic:spPr>
                </pic:pic>
              </a:graphicData>
            </a:graphic>
          </wp:inline>
        </w:drawing>
      </w:r>
    </w:p>
    <w:p w14:paraId="3686EF35">
      <w:pPr>
        <w:snapToGrid w:val="0"/>
        <w:spacing w:before="100" w:beforeAutospacing="1" w:after="100" w:afterAutospacing="1"/>
        <w:contextualSpacing/>
        <w:rPr>
          <w:rFonts w:ascii="宋体" w:hAnsi="宋体" w:cs="宋体"/>
          <w:b/>
          <w:sz w:val="18"/>
          <w:szCs w:val="18"/>
        </w:rPr>
      </w:pPr>
      <w:r>
        <w:rPr>
          <w:rFonts w:ascii="宋体" w:hAnsi="宋体" w:cs="宋体"/>
          <w:b/>
          <w:sz w:val="18"/>
          <w:szCs w:val="18"/>
        </w:rPr>
        <w:t>Estrogen Receptor α</w:t>
      </w:r>
      <w:r>
        <w:rPr>
          <w:rFonts w:hint="eastAsia" w:ascii="宋体" w:hAnsi="宋体" w:cs="宋体"/>
          <w:b/>
          <w:sz w:val="18"/>
          <w:szCs w:val="18"/>
        </w:rPr>
        <w:t>说明书</w:t>
      </w:r>
    </w:p>
    <w:p w14:paraId="7193A7E8">
      <w:pPr>
        <w:snapToGrid w:val="0"/>
        <w:spacing w:before="100" w:beforeAutospacing="1" w:after="100" w:afterAutospacing="1"/>
        <w:contextualSpacing/>
        <w:jc w:val="right"/>
        <w:rPr>
          <w:rFonts w:hint="default" w:ascii="宋体" w:hAnsi="宋体" w:eastAsia="宋体" w:cs="宋体"/>
          <w:sz w:val="15"/>
          <w:szCs w:val="15"/>
          <w:lang w:val="en-US" w:eastAsia="zh-CN"/>
        </w:rPr>
      </w:pPr>
      <w:r>
        <w:rPr>
          <w:rFonts w:hint="eastAsia" w:ascii="宋体" w:hAnsi="宋体" w:cs="宋体"/>
          <w:sz w:val="15"/>
          <w:szCs w:val="15"/>
        </w:rPr>
        <w:t>说明书编号：MyR1-ER</w:t>
      </w:r>
      <w:r>
        <w:rPr>
          <w:rFonts w:hint="eastAsia" w:ascii="宋体" w:hAnsi="宋体" w:cs="宋体"/>
          <w:sz w:val="15"/>
          <w:szCs w:val="15"/>
          <w:lang w:val="en-US" w:eastAsia="zh-CN"/>
        </w:rPr>
        <w:t>253</w:t>
      </w:r>
    </w:p>
    <w:p w14:paraId="489D5F73">
      <w:pPr>
        <w:snapToGrid w:val="0"/>
        <w:spacing w:before="100" w:beforeAutospacing="1" w:after="100" w:afterAutospacing="1"/>
        <w:contextualSpacing/>
        <w:rPr>
          <w:rFonts w:ascii="宋体" w:hAnsi="宋体" w:cs="宋体"/>
          <w:b/>
          <w:sz w:val="15"/>
          <w:szCs w:val="15"/>
        </w:rPr>
      </w:pPr>
      <w:r>
        <w:rPr>
          <w:rFonts w:hint="eastAsia" w:ascii="宋体" w:hAnsi="宋体" w:cs="宋体"/>
          <w:b/>
          <w:sz w:val="15"/>
          <w:szCs w:val="15"/>
        </w:rPr>
        <w:t>（本抗体仅供研究使用，不用于临床诊断）</w:t>
      </w:r>
    </w:p>
    <w:p w14:paraId="58639578">
      <w:pPr>
        <w:snapToGrid w:val="0"/>
        <w:spacing w:before="100" w:beforeAutospacing="1" w:after="100" w:afterAutospacing="1"/>
        <w:contextualSpacing/>
        <w:rPr>
          <w:rFonts w:ascii="宋体" w:hAnsi="宋体" w:cs="宋体"/>
          <w:b/>
          <w:color w:val="000000"/>
          <w:sz w:val="15"/>
          <w:szCs w:val="15"/>
        </w:rPr>
      </w:pPr>
    </w:p>
    <w:p w14:paraId="7F69FC80">
      <w:pPr>
        <w:snapToGrid w:val="0"/>
        <w:spacing w:before="100" w:beforeAutospacing="1" w:after="100" w:afterAutospacing="1"/>
        <w:contextualSpacing/>
        <w:rPr>
          <w:rFonts w:ascii="宋体" w:hAnsi="宋体" w:cs="宋体"/>
          <w:b/>
          <w:color w:val="000000"/>
          <w:sz w:val="15"/>
          <w:szCs w:val="15"/>
        </w:rPr>
      </w:pPr>
      <w:r>
        <w:rPr>
          <w:rFonts w:hint="eastAsia" w:ascii="宋体" w:hAnsi="宋体" w:cs="宋体"/>
          <w:b/>
          <w:color w:val="000000"/>
          <w:sz w:val="15"/>
          <w:szCs w:val="15"/>
        </w:rPr>
        <w:t>【产品名称】</w:t>
      </w:r>
    </w:p>
    <w:tbl>
      <w:tblPr>
        <w:tblStyle w:val="5"/>
        <w:tblW w:w="5367" w:type="dxa"/>
        <w:tblInd w:w="0" w:type="dxa"/>
        <w:tblLayout w:type="fixed"/>
        <w:tblCellMar>
          <w:top w:w="0" w:type="dxa"/>
          <w:left w:w="108" w:type="dxa"/>
          <w:bottom w:w="0" w:type="dxa"/>
          <w:right w:w="108" w:type="dxa"/>
        </w:tblCellMar>
      </w:tblPr>
      <w:tblGrid>
        <w:gridCol w:w="959"/>
        <w:gridCol w:w="4408"/>
      </w:tblGrid>
      <w:tr w14:paraId="786B040F">
        <w:tc>
          <w:tcPr>
            <w:tcW w:w="959" w:type="dxa"/>
          </w:tcPr>
          <w:p w14:paraId="2008A786">
            <w:pPr>
              <w:snapToGrid w:val="0"/>
              <w:spacing w:before="100" w:beforeAutospacing="1" w:after="100" w:afterAutospacing="1"/>
              <w:contextualSpacing/>
              <w:rPr>
                <w:rFonts w:ascii="宋体" w:hAnsi="宋体" w:cs="宋体"/>
                <w:b/>
                <w:sz w:val="15"/>
                <w:szCs w:val="15"/>
              </w:rPr>
            </w:pPr>
            <w:r>
              <w:rPr>
                <w:rFonts w:hint="eastAsia" w:ascii="宋体" w:hAnsi="宋体" w:cs="宋体"/>
                <w:sz w:val="15"/>
                <w:szCs w:val="15"/>
              </w:rPr>
              <w:t>通用名称：</w:t>
            </w:r>
          </w:p>
        </w:tc>
        <w:tc>
          <w:tcPr>
            <w:tcW w:w="4408" w:type="dxa"/>
          </w:tcPr>
          <w:p w14:paraId="070F7E40">
            <w:pPr>
              <w:snapToGrid w:val="0"/>
              <w:spacing w:before="100" w:beforeAutospacing="1" w:after="100" w:afterAutospacing="1"/>
              <w:contextualSpacing/>
              <w:jc w:val="left"/>
              <w:rPr>
                <w:rFonts w:ascii="宋体" w:hAnsi="宋体" w:cs="宋体"/>
                <w:sz w:val="15"/>
                <w:szCs w:val="15"/>
              </w:rPr>
            </w:pPr>
            <w:r>
              <w:rPr>
                <w:rFonts w:ascii="宋体" w:hAnsi="宋体" w:cs="宋体"/>
                <w:sz w:val="15"/>
                <w:szCs w:val="15"/>
              </w:rPr>
              <w:t xml:space="preserve">Estrogen Receptor α </w:t>
            </w:r>
          </w:p>
        </w:tc>
      </w:tr>
      <w:tr w14:paraId="2945CCD6">
        <w:tblPrEx>
          <w:tblCellMar>
            <w:top w:w="0" w:type="dxa"/>
            <w:left w:w="108" w:type="dxa"/>
            <w:bottom w:w="0" w:type="dxa"/>
            <w:right w:w="108" w:type="dxa"/>
          </w:tblCellMar>
        </w:tblPrEx>
        <w:tc>
          <w:tcPr>
            <w:tcW w:w="959" w:type="dxa"/>
          </w:tcPr>
          <w:p w14:paraId="3C87B719">
            <w:pPr>
              <w:snapToGrid w:val="0"/>
              <w:spacing w:before="100" w:beforeAutospacing="1" w:after="100" w:afterAutospacing="1"/>
              <w:contextualSpacing/>
              <w:rPr>
                <w:rFonts w:ascii="宋体" w:hAnsi="宋体" w:cs="宋体"/>
                <w:b/>
                <w:sz w:val="15"/>
                <w:szCs w:val="15"/>
              </w:rPr>
            </w:pPr>
            <w:r>
              <w:rPr>
                <w:rFonts w:hint="eastAsia" w:ascii="宋体" w:hAnsi="宋体" w:cs="宋体"/>
                <w:sz w:val="15"/>
                <w:szCs w:val="15"/>
              </w:rPr>
              <w:t>抗体类型：</w:t>
            </w:r>
          </w:p>
        </w:tc>
        <w:tc>
          <w:tcPr>
            <w:tcW w:w="4408" w:type="dxa"/>
          </w:tcPr>
          <w:p w14:paraId="3D881977">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单克隆兔抗人抗体</w:t>
            </w:r>
          </w:p>
        </w:tc>
      </w:tr>
      <w:tr w14:paraId="1A6EC7D4">
        <w:tblPrEx>
          <w:tblCellMar>
            <w:top w:w="0" w:type="dxa"/>
            <w:left w:w="108" w:type="dxa"/>
            <w:bottom w:w="0" w:type="dxa"/>
            <w:right w:w="108" w:type="dxa"/>
          </w:tblCellMar>
        </w:tblPrEx>
        <w:tc>
          <w:tcPr>
            <w:tcW w:w="959" w:type="dxa"/>
          </w:tcPr>
          <w:p w14:paraId="75D00914">
            <w:pPr>
              <w:snapToGrid w:val="0"/>
              <w:spacing w:before="100" w:beforeAutospacing="1" w:after="100" w:afterAutospacing="1"/>
              <w:contextualSpacing/>
              <w:rPr>
                <w:rFonts w:ascii="宋体" w:hAnsi="宋体" w:cs="宋体"/>
                <w:b/>
                <w:sz w:val="15"/>
                <w:szCs w:val="15"/>
              </w:rPr>
            </w:pPr>
            <w:r>
              <w:rPr>
                <w:rFonts w:hint="eastAsia" w:ascii="宋体" w:hAnsi="宋体" w:cs="宋体"/>
                <w:sz w:val="15"/>
                <w:szCs w:val="15"/>
              </w:rPr>
              <w:t>克 隆 号：</w:t>
            </w:r>
          </w:p>
        </w:tc>
        <w:tc>
          <w:tcPr>
            <w:tcW w:w="4408" w:type="dxa"/>
          </w:tcPr>
          <w:p w14:paraId="48F92E37">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MyR1-ER</w:t>
            </w:r>
          </w:p>
        </w:tc>
      </w:tr>
      <w:tr w14:paraId="5F60407B">
        <w:tblPrEx>
          <w:tblCellMar>
            <w:top w:w="0" w:type="dxa"/>
            <w:left w:w="108" w:type="dxa"/>
            <w:bottom w:w="0" w:type="dxa"/>
            <w:right w:w="108" w:type="dxa"/>
          </w:tblCellMar>
        </w:tblPrEx>
        <w:tc>
          <w:tcPr>
            <w:tcW w:w="959" w:type="dxa"/>
          </w:tcPr>
          <w:p w14:paraId="26F4CD4F">
            <w:pPr>
              <w:snapToGrid w:val="0"/>
              <w:spacing w:before="100" w:beforeAutospacing="1" w:after="100" w:afterAutospacing="1"/>
              <w:contextualSpacing/>
              <w:rPr>
                <w:rFonts w:ascii="宋体" w:hAnsi="宋体" w:cs="宋体"/>
                <w:b/>
                <w:sz w:val="15"/>
                <w:szCs w:val="15"/>
              </w:rPr>
            </w:pPr>
            <w:r>
              <w:rPr>
                <w:rFonts w:hint="eastAsia" w:ascii="宋体" w:hAnsi="宋体" w:cs="宋体"/>
                <w:sz w:val="15"/>
                <w:szCs w:val="15"/>
              </w:rPr>
              <w:t>同 种 型：</w:t>
            </w:r>
          </w:p>
        </w:tc>
        <w:tc>
          <w:tcPr>
            <w:tcW w:w="4408" w:type="dxa"/>
          </w:tcPr>
          <w:p w14:paraId="18751982">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IgG</w:t>
            </w:r>
          </w:p>
        </w:tc>
      </w:tr>
      <w:tr w14:paraId="177DB566">
        <w:tblPrEx>
          <w:tblCellMar>
            <w:top w:w="0" w:type="dxa"/>
            <w:left w:w="108" w:type="dxa"/>
            <w:bottom w:w="0" w:type="dxa"/>
            <w:right w:w="108" w:type="dxa"/>
          </w:tblCellMar>
        </w:tblPrEx>
        <w:tc>
          <w:tcPr>
            <w:tcW w:w="959" w:type="dxa"/>
          </w:tcPr>
          <w:p w14:paraId="0A9687A1">
            <w:pPr>
              <w:snapToGrid w:val="0"/>
              <w:spacing w:before="100" w:beforeAutospacing="1" w:after="100" w:afterAutospacing="1"/>
              <w:contextualSpacing/>
              <w:rPr>
                <w:rFonts w:ascii="宋体" w:hAnsi="宋体" w:cs="宋体"/>
                <w:sz w:val="15"/>
                <w:szCs w:val="15"/>
              </w:rPr>
            </w:pPr>
            <w:r>
              <w:rPr>
                <w:rFonts w:hint="eastAsia" w:ascii="宋体" w:hAnsi="宋体" w:cs="宋体"/>
                <w:sz w:val="15"/>
                <w:szCs w:val="15"/>
              </w:rPr>
              <w:t>染色定位：</w:t>
            </w:r>
          </w:p>
        </w:tc>
        <w:tc>
          <w:tcPr>
            <w:tcW w:w="4408" w:type="dxa"/>
          </w:tcPr>
          <w:p w14:paraId="4BDDCFE7">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细胞核</w:t>
            </w:r>
          </w:p>
        </w:tc>
      </w:tr>
      <w:tr w14:paraId="23439E2F">
        <w:tblPrEx>
          <w:tblCellMar>
            <w:top w:w="0" w:type="dxa"/>
            <w:left w:w="108" w:type="dxa"/>
            <w:bottom w:w="0" w:type="dxa"/>
            <w:right w:w="108" w:type="dxa"/>
          </w:tblCellMar>
        </w:tblPrEx>
        <w:tc>
          <w:tcPr>
            <w:tcW w:w="959" w:type="dxa"/>
          </w:tcPr>
          <w:p w14:paraId="4CA4D3C9">
            <w:pPr>
              <w:snapToGrid w:val="0"/>
              <w:spacing w:before="100" w:beforeAutospacing="1" w:after="100" w:afterAutospacing="1"/>
              <w:contextualSpacing/>
              <w:rPr>
                <w:rFonts w:ascii="宋体" w:hAnsi="宋体" w:cs="宋体"/>
                <w:sz w:val="15"/>
                <w:szCs w:val="15"/>
              </w:rPr>
            </w:pPr>
            <w:r>
              <w:rPr>
                <w:rFonts w:hint="eastAsia" w:ascii="宋体" w:hAnsi="宋体" w:cs="宋体"/>
                <w:sz w:val="15"/>
                <w:szCs w:val="15"/>
              </w:rPr>
              <w:t>阳性对照：</w:t>
            </w:r>
          </w:p>
        </w:tc>
        <w:tc>
          <w:tcPr>
            <w:tcW w:w="4408" w:type="dxa"/>
          </w:tcPr>
          <w:p w14:paraId="6A5D95AB">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乳腺癌</w:t>
            </w:r>
          </w:p>
        </w:tc>
      </w:tr>
      <w:tr w14:paraId="2622EB20">
        <w:tblPrEx>
          <w:tblCellMar>
            <w:top w:w="0" w:type="dxa"/>
            <w:left w:w="108" w:type="dxa"/>
            <w:bottom w:w="0" w:type="dxa"/>
            <w:right w:w="108" w:type="dxa"/>
          </w:tblCellMar>
        </w:tblPrEx>
        <w:tc>
          <w:tcPr>
            <w:tcW w:w="959" w:type="dxa"/>
          </w:tcPr>
          <w:p w14:paraId="74183B7A">
            <w:pPr>
              <w:snapToGrid w:val="0"/>
              <w:spacing w:before="100" w:beforeAutospacing="1" w:after="100" w:afterAutospacing="1"/>
              <w:contextualSpacing/>
              <w:rPr>
                <w:rFonts w:ascii="宋体" w:hAnsi="宋体" w:cs="宋体"/>
                <w:sz w:val="15"/>
                <w:szCs w:val="15"/>
              </w:rPr>
            </w:pPr>
            <w:r>
              <w:rPr>
                <w:rFonts w:hint="eastAsia" w:ascii="宋体" w:hAnsi="宋体" w:cs="宋体"/>
                <w:sz w:val="15"/>
                <w:szCs w:val="15"/>
              </w:rPr>
              <w:t>反应种属：</w:t>
            </w:r>
          </w:p>
        </w:tc>
        <w:tc>
          <w:tcPr>
            <w:tcW w:w="4408" w:type="dxa"/>
          </w:tcPr>
          <w:p w14:paraId="60AE9F52">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人体组织,其余种属未测试</w:t>
            </w:r>
          </w:p>
        </w:tc>
      </w:tr>
    </w:tbl>
    <w:p w14:paraId="24A2F867">
      <w:pPr>
        <w:snapToGrid w:val="0"/>
        <w:spacing w:before="100" w:beforeAutospacing="1" w:after="100" w:afterAutospacing="1"/>
        <w:contextualSpacing/>
        <w:rPr>
          <w:rFonts w:ascii="宋体" w:hAnsi="宋体" w:cs="宋体"/>
          <w:b/>
          <w:sz w:val="15"/>
          <w:szCs w:val="15"/>
        </w:rPr>
      </w:pPr>
      <w:r>
        <w:rPr>
          <w:rFonts w:hint="eastAsia" w:ascii="宋体" w:hAnsi="宋体" w:cs="宋体"/>
          <w:b/>
          <w:color w:val="000000"/>
          <w:sz w:val="15"/>
          <w:szCs w:val="15"/>
        </w:rPr>
        <w:t>【产品编号及包装规格】</w:t>
      </w:r>
    </w:p>
    <w:tbl>
      <w:tblPr>
        <w:tblStyle w:val="5"/>
        <w:tblW w:w="6326" w:type="dxa"/>
        <w:tblInd w:w="0" w:type="dxa"/>
        <w:tblLayout w:type="fixed"/>
        <w:tblCellMar>
          <w:top w:w="0" w:type="dxa"/>
          <w:left w:w="108" w:type="dxa"/>
          <w:bottom w:w="0" w:type="dxa"/>
          <w:right w:w="108" w:type="dxa"/>
        </w:tblCellMar>
      </w:tblPr>
      <w:tblGrid>
        <w:gridCol w:w="959"/>
        <w:gridCol w:w="850"/>
        <w:gridCol w:w="4517"/>
      </w:tblGrid>
      <w:tr w14:paraId="676F6271">
        <w:tblPrEx>
          <w:tblCellMar>
            <w:top w:w="0" w:type="dxa"/>
            <w:left w:w="108" w:type="dxa"/>
            <w:bottom w:w="0" w:type="dxa"/>
            <w:right w:w="108" w:type="dxa"/>
          </w:tblCellMar>
        </w:tblPrEx>
        <w:tc>
          <w:tcPr>
            <w:tcW w:w="959" w:type="dxa"/>
          </w:tcPr>
          <w:p w14:paraId="1B204FBA">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浓 缩 液：</w:t>
            </w:r>
          </w:p>
        </w:tc>
        <w:tc>
          <w:tcPr>
            <w:tcW w:w="850" w:type="dxa"/>
            <w:vAlign w:val="center"/>
          </w:tcPr>
          <w:p w14:paraId="419F50E9">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MY00</w:t>
            </w:r>
            <w:r>
              <w:rPr>
                <w:rFonts w:ascii="宋体" w:hAnsi="宋体" w:cs="宋体"/>
                <w:sz w:val="15"/>
                <w:szCs w:val="15"/>
              </w:rPr>
              <w:t>7</w:t>
            </w:r>
            <w:r>
              <w:rPr>
                <w:rFonts w:hint="eastAsia" w:ascii="宋体" w:hAnsi="宋体" w:cs="宋体"/>
                <w:sz w:val="15"/>
                <w:szCs w:val="15"/>
              </w:rPr>
              <w:t>-C1</w:t>
            </w:r>
          </w:p>
        </w:tc>
        <w:tc>
          <w:tcPr>
            <w:tcW w:w="4517" w:type="dxa"/>
          </w:tcPr>
          <w:p w14:paraId="17EFD948">
            <w:pPr>
              <w:snapToGrid w:val="0"/>
              <w:spacing w:before="100" w:beforeAutospacing="1" w:after="100" w:afterAutospacing="1"/>
              <w:ind w:firstLine="300" w:firstLineChars="200"/>
              <w:contextualSpacing/>
              <w:jc w:val="left"/>
              <w:rPr>
                <w:rFonts w:ascii="宋体" w:hAnsi="宋体" w:cs="宋体"/>
                <w:sz w:val="15"/>
                <w:szCs w:val="15"/>
              </w:rPr>
            </w:pPr>
            <w:r>
              <w:rPr>
                <w:rFonts w:ascii="宋体" w:hAnsi="宋体" w:cs="宋体"/>
                <w:sz w:val="15"/>
                <w:szCs w:val="15"/>
              </w:rPr>
              <w:t>1</w:t>
            </w:r>
            <w:r>
              <w:rPr>
                <w:rFonts w:hint="eastAsia" w:ascii="宋体" w:hAnsi="宋体" w:cs="宋体"/>
                <w:sz w:val="15"/>
                <w:szCs w:val="15"/>
              </w:rPr>
              <w:t>.0ml/瓶</w:t>
            </w:r>
          </w:p>
        </w:tc>
      </w:tr>
      <w:tr w14:paraId="284775E4">
        <w:tblPrEx>
          <w:tblCellMar>
            <w:top w:w="0" w:type="dxa"/>
            <w:left w:w="108" w:type="dxa"/>
            <w:bottom w:w="0" w:type="dxa"/>
            <w:right w:w="108" w:type="dxa"/>
          </w:tblCellMar>
        </w:tblPrEx>
        <w:tc>
          <w:tcPr>
            <w:tcW w:w="959" w:type="dxa"/>
          </w:tcPr>
          <w:p w14:paraId="3720673D">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浓 缩 液：</w:t>
            </w:r>
          </w:p>
        </w:tc>
        <w:tc>
          <w:tcPr>
            <w:tcW w:w="850" w:type="dxa"/>
            <w:vAlign w:val="center"/>
          </w:tcPr>
          <w:p w14:paraId="71254EFF">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MY00</w:t>
            </w:r>
            <w:r>
              <w:rPr>
                <w:rFonts w:ascii="宋体" w:hAnsi="宋体" w:cs="宋体"/>
                <w:sz w:val="15"/>
                <w:szCs w:val="15"/>
              </w:rPr>
              <w:t>7</w:t>
            </w:r>
            <w:r>
              <w:rPr>
                <w:rFonts w:hint="eastAsia" w:ascii="宋体" w:hAnsi="宋体" w:cs="宋体"/>
                <w:sz w:val="15"/>
                <w:szCs w:val="15"/>
              </w:rPr>
              <w:t>-C2</w:t>
            </w:r>
          </w:p>
        </w:tc>
        <w:tc>
          <w:tcPr>
            <w:tcW w:w="4517" w:type="dxa"/>
          </w:tcPr>
          <w:p w14:paraId="3F54838C">
            <w:pPr>
              <w:snapToGrid w:val="0"/>
              <w:spacing w:before="100" w:beforeAutospacing="1" w:after="100" w:afterAutospacing="1"/>
              <w:ind w:firstLine="300" w:firstLineChars="200"/>
              <w:contextualSpacing/>
              <w:jc w:val="left"/>
              <w:rPr>
                <w:rFonts w:ascii="宋体" w:hAnsi="宋体" w:cs="宋体"/>
                <w:sz w:val="15"/>
                <w:szCs w:val="15"/>
              </w:rPr>
            </w:pPr>
            <w:r>
              <w:rPr>
                <w:rFonts w:ascii="宋体" w:hAnsi="宋体" w:cs="宋体"/>
                <w:sz w:val="15"/>
                <w:szCs w:val="15"/>
              </w:rPr>
              <w:t>0.2</w:t>
            </w:r>
            <w:r>
              <w:rPr>
                <w:rFonts w:hint="eastAsia" w:ascii="宋体" w:hAnsi="宋体" w:cs="宋体"/>
                <w:sz w:val="15"/>
                <w:szCs w:val="15"/>
              </w:rPr>
              <w:t>ml/瓶</w:t>
            </w:r>
          </w:p>
        </w:tc>
      </w:tr>
      <w:tr w14:paraId="5C4AAB04">
        <w:tblPrEx>
          <w:tblCellMar>
            <w:top w:w="0" w:type="dxa"/>
            <w:left w:w="108" w:type="dxa"/>
            <w:bottom w:w="0" w:type="dxa"/>
            <w:right w:w="108" w:type="dxa"/>
          </w:tblCellMar>
        </w:tblPrEx>
        <w:tc>
          <w:tcPr>
            <w:tcW w:w="959" w:type="dxa"/>
          </w:tcPr>
          <w:p w14:paraId="5882721C">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工 作 液：</w:t>
            </w:r>
          </w:p>
        </w:tc>
        <w:tc>
          <w:tcPr>
            <w:tcW w:w="850" w:type="dxa"/>
            <w:vAlign w:val="center"/>
          </w:tcPr>
          <w:p w14:paraId="1F60848D">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MY00</w:t>
            </w:r>
            <w:r>
              <w:rPr>
                <w:rFonts w:ascii="宋体" w:hAnsi="宋体" w:cs="宋体"/>
                <w:sz w:val="15"/>
                <w:szCs w:val="15"/>
              </w:rPr>
              <w:t>7</w:t>
            </w:r>
            <w:r>
              <w:rPr>
                <w:rFonts w:hint="eastAsia" w:ascii="宋体" w:hAnsi="宋体" w:cs="宋体"/>
                <w:sz w:val="15"/>
                <w:szCs w:val="15"/>
              </w:rPr>
              <w:t>-C3</w:t>
            </w:r>
          </w:p>
        </w:tc>
        <w:tc>
          <w:tcPr>
            <w:tcW w:w="4517" w:type="dxa"/>
          </w:tcPr>
          <w:p w14:paraId="54C9C9AC">
            <w:pPr>
              <w:snapToGrid w:val="0"/>
              <w:spacing w:before="100" w:beforeAutospacing="1" w:after="100" w:afterAutospacing="1"/>
              <w:ind w:firstLine="300" w:firstLineChars="200"/>
              <w:contextualSpacing/>
              <w:jc w:val="left"/>
              <w:rPr>
                <w:rFonts w:ascii="宋体" w:hAnsi="宋体" w:cs="宋体"/>
                <w:sz w:val="15"/>
                <w:szCs w:val="15"/>
              </w:rPr>
            </w:pPr>
            <w:r>
              <w:rPr>
                <w:rFonts w:hint="eastAsia" w:ascii="宋体" w:hAnsi="宋体" w:cs="宋体"/>
                <w:sz w:val="15"/>
                <w:szCs w:val="15"/>
              </w:rPr>
              <w:t>3.0ml</w:t>
            </w:r>
            <w:r>
              <w:rPr>
                <w:rFonts w:ascii="宋体" w:hAnsi="宋体" w:cs="宋体"/>
                <w:sz w:val="15"/>
                <w:szCs w:val="15"/>
              </w:rPr>
              <w:t>/</w:t>
            </w:r>
            <w:r>
              <w:rPr>
                <w:rFonts w:hint="eastAsia" w:ascii="宋体" w:hAnsi="宋体" w:cs="宋体"/>
                <w:sz w:val="15"/>
                <w:szCs w:val="15"/>
              </w:rPr>
              <w:t>瓶</w:t>
            </w:r>
          </w:p>
        </w:tc>
      </w:tr>
      <w:tr w14:paraId="15699C82">
        <w:tblPrEx>
          <w:tblCellMar>
            <w:top w:w="0" w:type="dxa"/>
            <w:left w:w="108" w:type="dxa"/>
            <w:bottom w:w="0" w:type="dxa"/>
            <w:right w:w="108" w:type="dxa"/>
          </w:tblCellMar>
        </w:tblPrEx>
        <w:tc>
          <w:tcPr>
            <w:tcW w:w="959" w:type="dxa"/>
          </w:tcPr>
          <w:p w14:paraId="378FA8FF">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工 作 液：</w:t>
            </w:r>
          </w:p>
        </w:tc>
        <w:tc>
          <w:tcPr>
            <w:tcW w:w="850" w:type="dxa"/>
            <w:vAlign w:val="center"/>
          </w:tcPr>
          <w:p w14:paraId="1D5311BC">
            <w:pPr>
              <w:snapToGrid w:val="0"/>
              <w:spacing w:before="100" w:beforeAutospacing="1" w:after="100" w:afterAutospacing="1"/>
              <w:contextualSpacing/>
              <w:jc w:val="left"/>
              <w:rPr>
                <w:rFonts w:ascii="宋体" w:hAnsi="宋体" w:cs="宋体"/>
                <w:sz w:val="15"/>
                <w:szCs w:val="15"/>
              </w:rPr>
            </w:pPr>
            <w:r>
              <w:rPr>
                <w:rFonts w:hint="eastAsia" w:ascii="宋体" w:hAnsi="宋体" w:cs="宋体"/>
                <w:sz w:val="15"/>
                <w:szCs w:val="15"/>
              </w:rPr>
              <w:t>MY00</w:t>
            </w:r>
            <w:r>
              <w:rPr>
                <w:rFonts w:ascii="宋体" w:hAnsi="宋体" w:cs="宋体"/>
                <w:sz w:val="15"/>
                <w:szCs w:val="15"/>
              </w:rPr>
              <w:t>7</w:t>
            </w:r>
            <w:r>
              <w:rPr>
                <w:rFonts w:hint="eastAsia" w:ascii="宋体" w:hAnsi="宋体" w:cs="宋体"/>
                <w:sz w:val="15"/>
                <w:szCs w:val="15"/>
              </w:rPr>
              <w:t>-C6</w:t>
            </w:r>
          </w:p>
        </w:tc>
        <w:tc>
          <w:tcPr>
            <w:tcW w:w="4517" w:type="dxa"/>
          </w:tcPr>
          <w:p w14:paraId="16DC1DA2">
            <w:pPr>
              <w:snapToGrid w:val="0"/>
              <w:spacing w:before="100" w:beforeAutospacing="1" w:after="100" w:afterAutospacing="1"/>
              <w:ind w:firstLine="300" w:firstLineChars="200"/>
              <w:contextualSpacing/>
              <w:jc w:val="left"/>
              <w:rPr>
                <w:rFonts w:ascii="宋体" w:hAnsi="宋体" w:cs="宋体"/>
                <w:sz w:val="15"/>
                <w:szCs w:val="15"/>
              </w:rPr>
            </w:pPr>
            <w:r>
              <w:rPr>
                <w:rFonts w:ascii="宋体" w:hAnsi="宋体" w:cs="宋体"/>
                <w:sz w:val="15"/>
                <w:szCs w:val="15"/>
              </w:rPr>
              <w:t>6</w:t>
            </w:r>
            <w:r>
              <w:rPr>
                <w:rFonts w:hint="eastAsia" w:ascii="宋体" w:hAnsi="宋体" w:cs="宋体"/>
                <w:sz w:val="15"/>
                <w:szCs w:val="15"/>
              </w:rPr>
              <w:t>.0ml</w:t>
            </w:r>
            <w:r>
              <w:rPr>
                <w:rFonts w:ascii="宋体" w:hAnsi="宋体" w:cs="宋体"/>
                <w:sz w:val="15"/>
                <w:szCs w:val="15"/>
              </w:rPr>
              <w:t>/</w:t>
            </w:r>
            <w:r>
              <w:rPr>
                <w:rFonts w:hint="eastAsia" w:ascii="宋体" w:hAnsi="宋体" w:cs="宋体"/>
                <w:sz w:val="15"/>
                <w:szCs w:val="15"/>
              </w:rPr>
              <w:t>瓶</w:t>
            </w:r>
          </w:p>
        </w:tc>
      </w:tr>
    </w:tbl>
    <w:p w14:paraId="0FA5D3BD">
      <w:pPr>
        <w:snapToGrid w:val="0"/>
        <w:spacing w:before="100" w:beforeAutospacing="1" w:after="100" w:afterAutospacing="1"/>
        <w:contextualSpacing/>
        <w:rPr>
          <w:rFonts w:ascii="宋体" w:hAnsi="宋体" w:cs="宋体"/>
          <w:b/>
          <w:sz w:val="15"/>
          <w:szCs w:val="15"/>
        </w:rPr>
      </w:pPr>
      <w:r>
        <w:rPr>
          <w:rFonts w:hint="eastAsia" w:ascii="宋体" w:hAnsi="宋体" w:cs="宋体"/>
          <w:b/>
          <w:color w:val="000000"/>
          <w:sz w:val="15"/>
          <w:szCs w:val="15"/>
        </w:rPr>
        <w:t>【预期用途】</w:t>
      </w:r>
    </w:p>
    <w:p w14:paraId="67B8A916">
      <w:pPr>
        <w:snapToGrid w:val="0"/>
        <w:spacing w:before="100" w:beforeAutospacing="1" w:after="100" w:afterAutospacing="1"/>
        <w:ind w:firstLine="300" w:firstLineChars="200"/>
        <w:contextualSpacing/>
        <w:rPr>
          <w:rFonts w:ascii="宋体" w:hAnsi="宋体" w:cs="宋体"/>
          <w:sz w:val="15"/>
          <w:szCs w:val="15"/>
        </w:rPr>
      </w:pPr>
      <w:r>
        <w:rPr>
          <w:rFonts w:hint="eastAsia" w:ascii="宋体" w:hAnsi="宋体" w:cs="宋体"/>
          <w:sz w:val="15"/>
          <w:szCs w:val="15"/>
        </w:rPr>
        <w:t>本抗体试剂适用于福尔马林固定、石蜡包埋的人体组织切片的</w:t>
      </w:r>
      <w:r>
        <w:rPr>
          <w:rFonts w:hint="eastAsia" w:ascii="宋体" w:hAnsi="宋体" w:cs="宋体"/>
          <w:b/>
          <w:bCs/>
          <w:sz w:val="15"/>
          <w:szCs w:val="15"/>
        </w:rPr>
        <w:t>免疫组织化学染色</w:t>
      </w:r>
      <w:r>
        <w:rPr>
          <w:rFonts w:hint="eastAsia" w:ascii="宋体" w:hAnsi="宋体" w:cs="宋体"/>
          <w:sz w:val="15"/>
          <w:szCs w:val="15"/>
        </w:rPr>
        <w:t>，用于标识</w:t>
      </w:r>
      <w:r>
        <w:rPr>
          <w:rFonts w:ascii="宋体" w:hAnsi="宋体" w:cs="宋体"/>
          <w:sz w:val="15"/>
          <w:szCs w:val="15"/>
        </w:rPr>
        <w:t>Estrogen Receptor α</w:t>
      </w:r>
      <w:r>
        <w:rPr>
          <w:rFonts w:hint="eastAsia" w:ascii="宋体" w:hAnsi="宋体" w:cs="宋体"/>
          <w:sz w:val="15"/>
          <w:szCs w:val="15"/>
        </w:rPr>
        <w:t>蛋白在组织中的表达。</w:t>
      </w:r>
    </w:p>
    <w:p w14:paraId="323BB05F">
      <w:pPr>
        <w:snapToGrid w:val="0"/>
        <w:spacing w:before="100" w:beforeAutospacing="1" w:after="100" w:afterAutospacing="1"/>
        <w:ind w:firstLine="300" w:firstLineChars="200"/>
        <w:contextualSpacing/>
        <w:rPr>
          <w:rFonts w:ascii="宋体" w:hAnsi="宋体" w:cs="宋体"/>
          <w:sz w:val="15"/>
          <w:szCs w:val="15"/>
        </w:rPr>
      </w:pPr>
      <w:r>
        <w:rPr>
          <w:rFonts w:hint="eastAsia" w:ascii="宋体" w:hAnsi="宋体" w:cs="宋体"/>
          <w:sz w:val="15"/>
          <w:szCs w:val="15"/>
        </w:rPr>
        <w:t>雌激素受体（Estrogen Receptor, ER）是一种由595个氨基酸构成的激素受体，相对分子质量67kDa，主要位于细胞核内。ER可介导雌激素的信号，是调节生殖系统及乳腺等器官生长发育的重要分子。在正常的子宫内膜、平滑肌细胞中以及正常的乳腺上皮细胞中表达，是乳腺生长和分化重要的调节因子。</w:t>
      </w:r>
    </w:p>
    <w:p w14:paraId="36E9FE42">
      <w:pPr>
        <w:snapToGrid w:val="0"/>
        <w:spacing w:before="100" w:beforeAutospacing="1" w:after="100" w:afterAutospacing="1"/>
        <w:ind w:firstLine="300" w:firstLineChars="200"/>
        <w:contextualSpacing/>
        <w:rPr>
          <w:rFonts w:ascii="宋体" w:hAnsi="宋体" w:cs="宋体"/>
          <w:sz w:val="15"/>
          <w:szCs w:val="15"/>
        </w:rPr>
      </w:pPr>
      <w:r>
        <w:rPr>
          <w:rFonts w:hint="eastAsia" w:ascii="宋体" w:hAnsi="宋体" w:cs="宋体"/>
          <w:sz w:val="15"/>
          <w:szCs w:val="15"/>
        </w:rPr>
        <w:t>（</w:t>
      </w:r>
      <w:r>
        <w:rPr>
          <w:rFonts w:hint="eastAsia" w:ascii="宋体" w:hAnsi="宋体" w:cs="宋体"/>
          <w:b/>
          <w:bCs/>
          <w:sz w:val="15"/>
          <w:szCs w:val="15"/>
        </w:rPr>
        <w:t>注：</w:t>
      </w:r>
      <w:r>
        <w:rPr>
          <w:rFonts w:hint="eastAsia" w:ascii="宋体" w:hAnsi="宋体" w:cs="宋体"/>
          <w:sz w:val="15"/>
          <w:szCs w:val="15"/>
        </w:rPr>
        <w:t>对免疫组化染色结果的解读应结合病理形态学及其它资料进行，本染色结果不作为诊断指标。）</w:t>
      </w:r>
    </w:p>
    <w:p w14:paraId="49CC0A56">
      <w:pPr>
        <w:snapToGrid w:val="0"/>
        <w:spacing w:before="100" w:beforeAutospacing="1" w:after="100" w:afterAutospacing="1"/>
        <w:contextualSpacing/>
        <w:rPr>
          <w:rFonts w:ascii="宋体" w:hAnsi="宋体" w:cs="宋体"/>
          <w:b/>
          <w:sz w:val="15"/>
          <w:szCs w:val="15"/>
        </w:rPr>
      </w:pPr>
      <w:r>
        <w:rPr>
          <w:rFonts w:hint="eastAsia" w:ascii="宋体" w:hAnsi="宋体" w:cs="宋体"/>
          <w:b/>
          <w:color w:val="000000"/>
          <w:sz w:val="15"/>
          <w:szCs w:val="15"/>
        </w:rPr>
        <w:t>【主要组成成分】</w:t>
      </w:r>
    </w:p>
    <w:p w14:paraId="33B54F59">
      <w:pPr>
        <w:snapToGrid w:val="0"/>
        <w:spacing w:before="100" w:beforeAutospacing="1" w:after="100" w:afterAutospacing="1"/>
        <w:ind w:firstLine="300" w:firstLineChars="200"/>
        <w:contextualSpacing/>
        <w:rPr>
          <w:rFonts w:ascii="宋体" w:hAnsi="宋体" w:cs="宋体"/>
          <w:sz w:val="15"/>
          <w:szCs w:val="15"/>
        </w:rPr>
      </w:pPr>
      <w:r>
        <w:rPr>
          <w:rFonts w:hint="eastAsia" w:ascii="宋体" w:hAnsi="宋体" w:cs="宋体"/>
          <w:sz w:val="15"/>
          <w:szCs w:val="15"/>
        </w:rPr>
        <w:t>单克隆兔抗人</w:t>
      </w:r>
      <w:r>
        <w:rPr>
          <w:rFonts w:ascii="宋体" w:hAnsi="宋体" w:cs="宋体"/>
          <w:sz w:val="15"/>
          <w:szCs w:val="15"/>
        </w:rPr>
        <w:t>Estrogen Receptor α</w:t>
      </w:r>
      <w:r>
        <w:rPr>
          <w:rFonts w:hint="eastAsia" w:ascii="宋体" w:hAnsi="宋体" w:cs="宋体"/>
          <w:sz w:val="15"/>
          <w:szCs w:val="15"/>
        </w:rPr>
        <w:t>蛋白抗体，克隆号：MyR1-ER，免疫球蛋白分型：IgG。本产品为组织培养上清，含有0.05 mol/L Tris-HCl（pH 7.2）、0.015 mol/L叠氮钠（N</w:t>
      </w:r>
      <w:r>
        <w:rPr>
          <w:rFonts w:hint="eastAsia" w:ascii="宋体" w:hAnsi="宋体" w:cs="宋体"/>
          <w:sz w:val="15"/>
          <w:szCs w:val="15"/>
          <w:vertAlign w:val="subscript"/>
        </w:rPr>
        <w:t>a</w:t>
      </w:r>
      <w:r>
        <w:rPr>
          <w:rFonts w:hint="eastAsia" w:ascii="宋体" w:hAnsi="宋体" w:cs="宋体"/>
          <w:sz w:val="15"/>
          <w:szCs w:val="15"/>
        </w:rPr>
        <w:t>N</w:t>
      </w:r>
      <w:r>
        <w:rPr>
          <w:rFonts w:hint="eastAsia" w:ascii="宋体" w:hAnsi="宋体" w:cs="宋体"/>
          <w:sz w:val="15"/>
          <w:szCs w:val="15"/>
          <w:vertAlign w:val="subscript"/>
        </w:rPr>
        <w:t>3</w:t>
      </w:r>
      <w:r>
        <w:rPr>
          <w:rFonts w:hint="eastAsia" w:ascii="宋体" w:hAnsi="宋体" w:cs="宋体"/>
          <w:sz w:val="15"/>
          <w:szCs w:val="15"/>
        </w:rPr>
        <w:t>）及蛋白稳定剂。</w:t>
      </w:r>
    </w:p>
    <w:p w14:paraId="4DB1D575">
      <w:pPr>
        <w:snapToGrid w:val="0"/>
        <w:spacing w:before="100" w:beforeAutospacing="1" w:after="100" w:afterAutospacing="1"/>
        <w:contextualSpacing/>
        <w:rPr>
          <w:rFonts w:ascii="宋体" w:hAnsi="宋体" w:cs="宋体"/>
          <w:b/>
          <w:sz w:val="15"/>
          <w:szCs w:val="15"/>
        </w:rPr>
      </w:pPr>
      <w:r>
        <w:rPr>
          <w:rFonts w:hint="eastAsia" w:ascii="宋体" w:hAnsi="宋体" w:cs="宋体"/>
          <w:b/>
          <w:color w:val="000000"/>
          <w:sz w:val="15"/>
          <w:szCs w:val="15"/>
        </w:rPr>
        <w:t>【储存条件及有效期】</w:t>
      </w:r>
    </w:p>
    <w:p w14:paraId="3A56D853">
      <w:pPr>
        <w:snapToGrid w:val="0"/>
        <w:spacing w:before="100" w:beforeAutospacing="1" w:after="100" w:afterAutospacing="1"/>
        <w:ind w:firstLine="300" w:firstLineChars="200"/>
        <w:contextualSpacing/>
        <w:rPr>
          <w:rFonts w:ascii="宋体" w:hAnsi="宋体" w:cs="宋体"/>
          <w:sz w:val="15"/>
          <w:szCs w:val="15"/>
        </w:rPr>
      </w:pPr>
      <w:r>
        <w:rPr>
          <w:rFonts w:hint="eastAsia" w:ascii="宋体" w:hAnsi="宋体" w:cs="宋体"/>
          <w:sz w:val="15"/>
          <w:szCs w:val="15"/>
        </w:rPr>
        <w:t>试剂需在2-8℃(不可低于0℃)避光保存。每次使用后应立即放回2-8℃冰箱保存。有效期见产品外包装。（</w:t>
      </w:r>
      <w:r>
        <w:rPr>
          <w:rFonts w:hint="eastAsia" w:ascii="宋体" w:hAnsi="宋体" w:cs="宋体"/>
          <w:b/>
          <w:bCs/>
          <w:sz w:val="15"/>
          <w:szCs w:val="15"/>
        </w:rPr>
        <w:t>注：</w:t>
      </w:r>
      <w:r>
        <w:rPr>
          <w:rFonts w:hint="eastAsia" w:ascii="宋体" w:hAnsi="宋体" w:cs="宋体"/>
          <w:sz w:val="15"/>
          <w:szCs w:val="15"/>
        </w:rPr>
        <w:t>如果试剂未按上述条件储存, 可能影响其使用效果）。</w:t>
      </w:r>
    </w:p>
    <w:p w14:paraId="30B5B46E">
      <w:pPr>
        <w:snapToGrid w:val="0"/>
        <w:spacing w:before="100" w:beforeAutospacing="1" w:after="100" w:afterAutospacing="1"/>
        <w:contextualSpacing/>
        <w:rPr>
          <w:rFonts w:ascii="宋体" w:hAnsi="宋体" w:cs="宋体"/>
          <w:b/>
          <w:sz w:val="15"/>
          <w:szCs w:val="15"/>
        </w:rPr>
      </w:pPr>
      <w:r>
        <w:rPr>
          <w:rFonts w:hint="eastAsia" w:ascii="宋体" w:hAnsi="宋体" w:cs="宋体"/>
          <w:b/>
          <w:color w:val="000000"/>
          <w:sz w:val="15"/>
          <w:szCs w:val="15"/>
        </w:rPr>
        <w:t>【免疫组化染色原理】</w:t>
      </w:r>
    </w:p>
    <w:p w14:paraId="45D7B65A">
      <w:pPr>
        <w:snapToGrid w:val="0"/>
        <w:spacing w:before="100" w:beforeAutospacing="1" w:after="100" w:afterAutospacing="1"/>
        <w:ind w:firstLine="300" w:firstLineChars="200"/>
        <w:contextualSpacing/>
        <w:rPr>
          <w:rFonts w:ascii="宋体" w:hAnsi="宋体" w:cs="宋体"/>
          <w:sz w:val="15"/>
          <w:szCs w:val="15"/>
        </w:rPr>
      </w:pPr>
      <w:r>
        <w:rPr>
          <w:rFonts w:hint="eastAsia" w:ascii="宋体" w:hAnsi="宋体" w:cs="宋体"/>
          <w:sz w:val="15"/>
          <w:szCs w:val="15"/>
        </w:rPr>
        <w:t>在免疫学中，抗原抗体分子由于结构的互补和彼此亲和性会发生特异性结合，基于此原理，抗体将会与待测人体组织及细胞中特异的抗原/蛋白结合。随后通过氧化还原化学反应使标记抗体的酶显色剂显色，从而显示组织及细胞内的抗原分布。</w:t>
      </w:r>
    </w:p>
    <w:p w14:paraId="7F7B8517">
      <w:pPr>
        <w:snapToGrid w:val="0"/>
        <w:spacing w:before="100" w:beforeAutospacing="1" w:after="100" w:afterAutospacing="1"/>
        <w:ind w:firstLine="300" w:firstLineChars="200"/>
        <w:contextualSpacing/>
        <w:rPr>
          <w:rFonts w:ascii="宋体" w:hAnsi="宋体" w:cs="宋体"/>
          <w:sz w:val="15"/>
          <w:szCs w:val="15"/>
        </w:rPr>
      </w:pPr>
      <w:r>
        <w:rPr>
          <w:rFonts w:hint="eastAsia" w:ascii="宋体" w:hAnsi="宋体" w:cs="宋体"/>
          <w:sz w:val="15"/>
          <w:szCs w:val="15"/>
        </w:rPr>
        <w:t>首先，本抗体与待测组织上的抗原特异性结合；其次，酶标抗小鼠/兔IgG聚合物识别已经连接上抗原的抗体；再次，加入显色底物，聚合物上的辣根过氧化物酶可以催化DAB显色液中的H</w:t>
      </w:r>
      <w:r>
        <w:rPr>
          <w:rFonts w:hint="eastAsia" w:ascii="宋体" w:hAnsi="宋体" w:cs="宋体"/>
          <w:sz w:val="15"/>
          <w:szCs w:val="15"/>
          <w:vertAlign w:val="subscript"/>
        </w:rPr>
        <w:t>2</w:t>
      </w:r>
      <w:r>
        <w:rPr>
          <w:rFonts w:hint="eastAsia" w:ascii="宋体" w:hAnsi="宋体" w:cs="宋体"/>
          <w:sz w:val="15"/>
          <w:szCs w:val="15"/>
        </w:rPr>
        <w:t>O</w:t>
      </w:r>
      <w:r>
        <w:rPr>
          <w:rFonts w:hint="eastAsia" w:ascii="宋体" w:hAnsi="宋体" w:cs="宋体"/>
          <w:sz w:val="15"/>
          <w:szCs w:val="15"/>
          <w:vertAlign w:val="subscript"/>
        </w:rPr>
        <w:t>2</w:t>
      </w:r>
      <w:r>
        <w:rPr>
          <w:rFonts w:hint="eastAsia" w:ascii="宋体" w:hAnsi="宋体" w:cs="宋体"/>
          <w:sz w:val="15"/>
          <w:szCs w:val="15"/>
        </w:rPr>
        <w:t>分解，使联苯胺氧化变成联苯亚胺，从而使组织切片中抗原位点处出现黄色或棕黄色着色；最后对样本进行复染和封片。通过显微镜观测显色情况，推断组织切片上该抗原的存在位置和表达情况。</w:t>
      </w:r>
    </w:p>
    <w:p w14:paraId="40ADC0DC">
      <w:pPr>
        <w:snapToGrid w:val="0"/>
        <w:spacing w:before="100" w:beforeAutospacing="1" w:after="100" w:afterAutospacing="1"/>
        <w:contextualSpacing/>
        <w:rPr>
          <w:rFonts w:ascii="宋体" w:hAnsi="宋体" w:cs="宋体"/>
          <w:b/>
          <w:color w:val="000000"/>
          <w:sz w:val="15"/>
          <w:szCs w:val="15"/>
        </w:rPr>
      </w:pPr>
      <w:r>
        <w:rPr>
          <w:rFonts w:hint="eastAsia" w:ascii="宋体" w:hAnsi="宋体" w:cs="宋体"/>
          <w:b/>
          <w:color w:val="000000"/>
          <w:sz w:val="15"/>
          <w:szCs w:val="15"/>
        </w:rPr>
        <w:t>【样本要求】</w:t>
      </w:r>
    </w:p>
    <w:p w14:paraId="64CC9B5A">
      <w:pPr>
        <w:snapToGrid w:val="0"/>
        <w:spacing w:before="100" w:beforeAutospacing="1" w:after="100" w:afterAutospacing="1"/>
        <w:ind w:firstLine="300" w:firstLineChars="200"/>
        <w:contextualSpacing/>
        <w:rPr>
          <w:rFonts w:ascii="宋体" w:hAnsi="宋体" w:cs="宋体"/>
          <w:color w:val="000000"/>
          <w:sz w:val="15"/>
          <w:szCs w:val="15"/>
        </w:rPr>
      </w:pPr>
      <w:r>
        <w:rPr>
          <w:rFonts w:hint="eastAsia" w:ascii="宋体" w:hAnsi="宋体" w:cs="宋体"/>
          <w:color w:val="000000"/>
          <w:sz w:val="15"/>
          <w:szCs w:val="15"/>
        </w:rPr>
        <w:t>新鲜活检或手术样本组织，经10%中性福尔马林溶液固定6-24小时，按技术规范要求进行取材、脱水、石蜡包埋制成蜡块。蜡块在常温条件下保存有效期5年。</w:t>
      </w:r>
    </w:p>
    <w:p w14:paraId="1870A6F6">
      <w:pPr>
        <w:snapToGrid w:val="0"/>
        <w:spacing w:before="100" w:beforeAutospacing="1" w:after="100" w:afterAutospacing="1"/>
        <w:ind w:firstLine="300" w:firstLineChars="200"/>
        <w:contextualSpacing/>
        <w:rPr>
          <w:rFonts w:ascii="宋体" w:hAnsi="宋体" w:cs="宋体"/>
          <w:color w:val="000000"/>
          <w:sz w:val="15"/>
          <w:szCs w:val="15"/>
        </w:rPr>
      </w:pPr>
      <w:r>
        <w:rPr>
          <w:rFonts w:hint="eastAsia" w:ascii="宋体" w:hAnsi="宋体" w:cs="宋体"/>
          <w:color w:val="000000"/>
          <w:sz w:val="15"/>
          <w:szCs w:val="15"/>
        </w:rPr>
        <w:t>对标本蜡块进行切片，厚度3-5μm，粘附在经防脱处理的载玻片上，在58-60℃恒温箱中烤片1小时，以备染色。暂不使用的白片在室温（15-25℃）下保存（最好防氧化处理），为了良好地重现组织切片中的抗原分布情况，建议在7日内完成免疫组化染色。</w:t>
      </w:r>
    </w:p>
    <w:p w14:paraId="34C1E7FC">
      <w:pPr>
        <w:snapToGrid w:val="0"/>
        <w:spacing w:before="100" w:beforeAutospacing="1" w:after="100" w:afterAutospacing="1"/>
        <w:contextualSpacing/>
        <w:rPr>
          <w:rFonts w:ascii="宋体" w:hAnsi="宋体" w:cs="宋体"/>
          <w:b/>
          <w:color w:val="000000"/>
          <w:sz w:val="15"/>
          <w:szCs w:val="15"/>
        </w:rPr>
      </w:pPr>
      <w:r>
        <w:rPr>
          <w:rFonts w:hint="eastAsia" w:ascii="宋体" w:hAnsi="宋体" w:cs="宋体"/>
          <w:b/>
          <w:color w:val="000000"/>
          <w:sz w:val="15"/>
          <w:szCs w:val="15"/>
        </w:rPr>
        <w:t>【染色方法】</w:t>
      </w:r>
    </w:p>
    <w:p w14:paraId="0DED865E">
      <w:pPr>
        <w:snapToGrid w:val="0"/>
        <w:spacing w:before="100" w:beforeAutospacing="1" w:after="100" w:afterAutospacing="1"/>
        <w:ind w:firstLine="300" w:firstLineChars="200"/>
        <w:contextualSpacing/>
        <w:rPr>
          <w:rFonts w:ascii="宋体" w:hAnsi="宋体" w:cs="宋体"/>
          <w:color w:val="000000"/>
          <w:sz w:val="15"/>
          <w:szCs w:val="15"/>
        </w:rPr>
      </w:pPr>
      <w:r>
        <w:rPr>
          <w:rFonts w:hint="eastAsia" w:ascii="宋体" w:hAnsi="宋体" w:cs="宋体"/>
          <w:color w:val="000000"/>
          <w:sz w:val="15"/>
          <w:szCs w:val="15"/>
        </w:rPr>
        <w:t>以下为针对手工免疫组化法推荐的配置及步骤，如果采用自动化免疫组化仪器进行染色，请根据不同的仪器及显色试剂盒进行调整。一次完整的免疫组化实验应设立阳性组织对照、阴性组织对照以及空白(或阴性)试剂对照，对实验结果的评估及验证请参照</w:t>
      </w:r>
      <w:r>
        <w:rPr>
          <w:rFonts w:hint="eastAsia" w:ascii="宋体" w:hAnsi="宋体" w:cs="宋体"/>
          <w:b/>
          <w:color w:val="000000"/>
          <w:sz w:val="15"/>
          <w:szCs w:val="15"/>
        </w:rPr>
        <w:t>【质量控制】</w:t>
      </w:r>
      <w:r>
        <w:rPr>
          <w:rFonts w:hint="eastAsia" w:ascii="宋体" w:hAnsi="宋体" w:cs="宋体"/>
          <w:color w:val="000000"/>
          <w:sz w:val="15"/>
          <w:szCs w:val="15"/>
        </w:rPr>
        <w:t>和</w:t>
      </w:r>
      <w:r>
        <w:rPr>
          <w:rFonts w:hint="eastAsia" w:ascii="宋体" w:hAnsi="宋体" w:cs="宋体"/>
          <w:b/>
          <w:color w:val="000000"/>
          <w:sz w:val="15"/>
          <w:szCs w:val="15"/>
        </w:rPr>
        <w:t>【染色结果的解释】</w:t>
      </w:r>
      <w:r>
        <w:rPr>
          <w:rFonts w:hint="eastAsia" w:ascii="宋体" w:hAnsi="宋体" w:cs="宋体"/>
          <w:color w:val="000000"/>
          <w:sz w:val="15"/>
          <w:szCs w:val="15"/>
        </w:rPr>
        <w:t>。</w:t>
      </w:r>
    </w:p>
    <w:p w14:paraId="6C487320">
      <w:pPr>
        <w:numPr>
          <w:ilvl w:val="0"/>
          <w:numId w:val="1"/>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所需仪器、设备：</w:t>
      </w:r>
    </w:p>
    <w:p w14:paraId="32758E8F">
      <w:pPr>
        <w:snapToGrid w:val="0"/>
        <w:spacing w:before="100" w:beforeAutospacing="1" w:after="100" w:afterAutospacing="1"/>
        <w:ind w:firstLine="300" w:firstLineChars="200"/>
        <w:contextualSpacing/>
        <w:rPr>
          <w:rFonts w:ascii="宋体" w:hAnsi="宋体" w:cs="宋体"/>
          <w:color w:val="000000"/>
          <w:sz w:val="15"/>
          <w:szCs w:val="15"/>
        </w:rPr>
      </w:pPr>
      <w:r>
        <w:rPr>
          <w:rFonts w:hint="eastAsia" w:ascii="宋体" w:hAnsi="宋体" w:cs="宋体"/>
          <w:color w:val="000000"/>
          <w:sz w:val="15"/>
          <w:szCs w:val="15"/>
        </w:rPr>
        <w:t>电磁炉、不锈钢锅、计时器、孵育湿盒、染色架、染色缸、盖玻片、光学显微镜（40×-200×）、洗瓶、抽纸、移液器等。</w:t>
      </w:r>
    </w:p>
    <w:p w14:paraId="62EAC835">
      <w:pPr>
        <w:numPr>
          <w:ilvl w:val="0"/>
          <w:numId w:val="1"/>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试剂、材料准备：</w:t>
      </w:r>
    </w:p>
    <w:p w14:paraId="640F854C">
      <w:pPr>
        <w:snapToGrid w:val="0"/>
        <w:spacing w:before="100" w:beforeAutospacing="1" w:after="100" w:afterAutospacing="1"/>
        <w:ind w:firstLine="300" w:firstLineChars="200"/>
        <w:contextualSpacing/>
        <w:rPr>
          <w:rFonts w:ascii="宋体" w:hAnsi="宋体" w:cs="宋体"/>
          <w:color w:val="000000"/>
          <w:sz w:val="15"/>
          <w:szCs w:val="15"/>
        </w:rPr>
      </w:pPr>
      <w:r>
        <w:rPr>
          <w:rFonts w:hint="eastAsia" w:ascii="宋体" w:hAnsi="宋体" w:cs="宋体"/>
          <w:color w:val="000000"/>
          <w:sz w:val="15"/>
          <w:szCs w:val="15"/>
        </w:rPr>
        <w:t>本抗体试剂工作液使用前无需稀释,如为浓缩液，使用前推荐用PBS缓冲液或抗体稀释液按1:</w:t>
      </w:r>
      <w:r>
        <w:rPr>
          <w:rFonts w:ascii="宋体" w:hAnsi="宋体" w:cs="宋体"/>
          <w:color w:val="000000"/>
          <w:sz w:val="15"/>
          <w:szCs w:val="15"/>
        </w:rPr>
        <w:t>100</w:t>
      </w:r>
      <w:r>
        <w:rPr>
          <w:rFonts w:hint="eastAsia" w:ascii="宋体" w:hAnsi="宋体" w:cs="宋体"/>
          <w:color w:val="000000"/>
          <w:sz w:val="15"/>
          <w:szCs w:val="15"/>
        </w:rPr>
        <w:t>-</w:t>
      </w:r>
      <w:r>
        <w:rPr>
          <w:rFonts w:ascii="宋体" w:hAnsi="宋体" w:cs="宋体"/>
          <w:color w:val="000000"/>
          <w:sz w:val="15"/>
          <w:szCs w:val="15"/>
        </w:rPr>
        <w:t>1</w:t>
      </w:r>
      <w:r>
        <w:rPr>
          <w:rFonts w:hint="eastAsia" w:ascii="宋体" w:hAnsi="宋体" w:cs="宋体"/>
          <w:color w:val="000000"/>
          <w:sz w:val="15"/>
          <w:szCs w:val="15"/>
        </w:rPr>
        <w:t>:</w:t>
      </w:r>
      <w:r>
        <w:rPr>
          <w:rFonts w:ascii="宋体" w:hAnsi="宋体" w:cs="宋体"/>
          <w:color w:val="000000"/>
          <w:sz w:val="15"/>
          <w:szCs w:val="15"/>
        </w:rPr>
        <w:t>200</w:t>
      </w:r>
      <w:r>
        <w:rPr>
          <w:rFonts w:hint="eastAsia" w:ascii="宋体" w:hAnsi="宋体" w:cs="宋体"/>
          <w:color w:val="000000"/>
          <w:sz w:val="15"/>
          <w:szCs w:val="15"/>
        </w:rPr>
        <w:t>稀释成工作液。PBS缓冲液、抗原修复液、二抗以及DAB显色液等试剂的配制请参见各产品说明书。</w:t>
      </w:r>
    </w:p>
    <w:p w14:paraId="4279B1F7">
      <w:pPr>
        <w:snapToGrid w:val="0"/>
        <w:spacing w:before="100" w:beforeAutospacing="1" w:after="100" w:afterAutospacing="1"/>
        <w:contextualSpacing/>
        <w:rPr>
          <w:rFonts w:ascii="宋体" w:hAnsi="宋体" w:cs="宋体"/>
          <w:b/>
          <w:sz w:val="15"/>
          <w:szCs w:val="15"/>
        </w:rPr>
      </w:pPr>
      <w:r>
        <w:rPr>
          <w:rFonts w:hint="eastAsia" w:ascii="宋体" w:hAnsi="宋体" w:cs="宋体"/>
          <w:b/>
          <w:sz w:val="15"/>
          <w:szCs w:val="15"/>
        </w:rPr>
        <w:t>实验所需的其他材料如下所示：</w:t>
      </w:r>
    </w:p>
    <w:p w14:paraId="51AD2626">
      <w:pPr>
        <w:snapToGrid w:val="0"/>
        <w:spacing w:before="100" w:beforeAutospacing="1" w:after="100" w:afterAutospacing="1"/>
        <w:ind w:firstLine="300" w:firstLineChars="200"/>
        <w:contextualSpacing/>
        <w:rPr>
          <w:rFonts w:ascii="宋体" w:hAnsi="宋体" w:cs="宋体"/>
          <w:sz w:val="15"/>
          <w:szCs w:val="15"/>
        </w:rPr>
      </w:pPr>
      <w:r>
        <w:rPr>
          <w:rFonts w:hint="eastAsia" w:ascii="宋体" w:hAnsi="宋体" w:cs="宋体"/>
          <w:sz w:val="15"/>
          <w:szCs w:val="15"/>
        </w:rPr>
        <w:t>PBS缓冲液（pH7.2-7.4）、Tris-EDTA抗原修复液（pH9.0）、内源性过氧化物酶阻断剂、HRP</w:t>
      </w:r>
      <w:r>
        <w:rPr>
          <w:rFonts w:hint="eastAsia" w:ascii="宋体" w:hAnsi="宋体" w:cs="宋体"/>
          <w:color w:val="000000"/>
          <w:sz w:val="15"/>
          <w:szCs w:val="15"/>
        </w:rPr>
        <w:t>酶标记的抗小鼠/兔IgG聚合物、DAB显色液、苏木素染色液、空白(或阴性)对照试剂、阳性及阴性对照组织切片、二甲苯或二甲苯替代品、</w:t>
      </w:r>
      <w:r>
        <w:rPr>
          <w:rFonts w:hint="eastAsia" w:ascii="宋体" w:hAnsi="宋体" w:cs="宋体"/>
          <w:sz w:val="15"/>
          <w:szCs w:val="15"/>
        </w:rPr>
        <w:t>乙醇（无水、 95%、 85%）、蒸馏水或去离子水、封片剂（如中性树胶）、防脱载玻片、盖玻片等。</w:t>
      </w:r>
    </w:p>
    <w:p w14:paraId="7A9D5C56">
      <w:pPr>
        <w:numPr>
          <w:ilvl w:val="0"/>
          <w:numId w:val="1"/>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实验温度条件：室温18℃-28℃。</w:t>
      </w:r>
    </w:p>
    <w:p w14:paraId="01EC5BF6">
      <w:pPr>
        <w:numPr>
          <w:ilvl w:val="0"/>
          <w:numId w:val="1"/>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实验步骤：</w:t>
      </w:r>
    </w:p>
    <w:p w14:paraId="78881CF6">
      <w:pPr>
        <w:numPr>
          <w:ilvl w:val="0"/>
          <w:numId w:val="2"/>
        </w:numPr>
        <w:snapToGrid w:val="0"/>
        <w:spacing w:before="100" w:beforeAutospacing="1" w:after="100" w:afterAutospacing="1" w:line="240" w:lineRule="auto"/>
        <w:contextualSpacing/>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脱蜡和水化</w:t>
      </w:r>
    </w:p>
    <w:p w14:paraId="38DE6C4C">
      <w:pPr>
        <w:snapToGrid w:val="0"/>
        <w:spacing w:before="100" w:beforeAutospacing="1" w:after="100" w:afterAutospacing="1" w:line="240" w:lineRule="auto"/>
        <w:ind w:left="149" w:leftChars="71" w:firstLine="150" w:firstLineChars="100"/>
        <w:contextualSpacing/>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（1）将组织切片依次置于</w:t>
      </w:r>
      <w:r>
        <w:rPr>
          <w:rFonts w:hint="eastAsia" w:cs="Times New Roman"/>
          <w:color w:val="000000"/>
          <w:sz w:val="15"/>
          <w:szCs w:val="15"/>
          <w:lang w:val="en-US" w:eastAsia="zh-CN"/>
        </w:rPr>
        <w:t>2</w:t>
      </w:r>
      <w:r>
        <w:rPr>
          <w:rFonts w:hint="default" w:ascii="Times New Roman" w:hAnsi="Times New Roman" w:eastAsia="宋体" w:cs="Times New Roman"/>
          <w:color w:val="000000"/>
          <w:sz w:val="15"/>
          <w:szCs w:val="15"/>
          <w:lang w:val="en-US" w:eastAsia="zh-CN"/>
        </w:rPr>
        <w:t>缸新鲜二甲苯中，各浸泡10分钟；</w:t>
      </w:r>
    </w:p>
    <w:p w14:paraId="11A3EEBF">
      <w:pPr>
        <w:snapToGrid w:val="0"/>
        <w:spacing w:before="100" w:beforeAutospacing="1" w:after="100" w:afterAutospacing="1" w:line="240" w:lineRule="auto"/>
        <w:ind w:left="149" w:leftChars="71" w:firstLine="150" w:firstLineChars="100"/>
        <w:contextualSpacing/>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（2）将组织切片依次置于无水乙醇、95%乙醇、85%乙醇中，各浸泡5分钟；</w:t>
      </w:r>
    </w:p>
    <w:p w14:paraId="75B38118">
      <w:pPr>
        <w:snapToGrid w:val="0"/>
        <w:spacing w:before="100" w:beforeAutospacing="1" w:after="100" w:afterAutospacing="1" w:line="240" w:lineRule="auto"/>
        <w:ind w:left="149" w:leftChars="71" w:firstLine="150" w:firstLineChars="100"/>
        <w:contextualSpacing/>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（3）蒸馏水轻柔冲洗1分钟，冲洗后浸泡在蒸馏水中准备修复。</w:t>
      </w:r>
    </w:p>
    <w:p w14:paraId="4E74103B">
      <w:pPr>
        <w:numPr>
          <w:ilvl w:val="0"/>
          <w:numId w:val="2"/>
        </w:numPr>
        <w:snapToGrid w:val="0"/>
        <w:spacing w:before="100" w:beforeAutospacing="1" w:after="100" w:afterAutospacing="1" w:line="240" w:lineRule="auto"/>
        <w:contextualSpacing/>
        <w:rPr>
          <w:rFonts w:hint="default" w:ascii="Times New Roman" w:hAnsi="Times New Roman" w:eastAsia="宋体" w:cs="Times New Roman"/>
          <w:color w:val="000000"/>
          <w:sz w:val="15"/>
          <w:szCs w:val="15"/>
          <w:lang w:val="en-US"/>
        </w:rPr>
      </w:pPr>
      <w:r>
        <w:rPr>
          <w:rFonts w:hint="default" w:ascii="Times New Roman" w:hAnsi="Times New Roman" w:eastAsia="宋体" w:cs="Times New Roman"/>
          <w:color w:val="000000"/>
          <w:sz w:val="15"/>
          <w:szCs w:val="15"/>
        </w:rPr>
        <w:t>抗原修复</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高压修复）</w:t>
      </w:r>
    </w:p>
    <w:p w14:paraId="68DC9C85">
      <w:pPr>
        <w:snapToGrid w:val="0"/>
        <w:spacing w:before="100" w:beforeAutospacing="1" w:after="100" w:afterAutospacing="1" w:line="240" w:lineRule="auto"/>
        <w:ind w:left="149" w:leftChars="71" w:firstLine="150" w:firstLineChars="100"/>
        <w:contextualSpacing/>
        <w:rPr>
          <w:rFonts w:hint="default" w:ascii="Times New Roman" w:hAnsi="Times New Roman" w:eastAsia="宋体" w:cs="Times New Roman"/>
          <w:color w:val="000000"/>
          <w:sz w:val="15"/>
          <w:szCs w:val="15"/>
          <w:lang w:eastAsia="zh-CN"/>
        </w:rPr>
      </w:pPr>
      <w:r>
        <w:rPr>
          <w:rFonts w:hint="default" w:ascii="Times New Roman" w:hAnsi="Times New Roman" w:eastAsia="宋体" w:cs="Times New Roman"/>
          <w:color w:val="000000"/>
          <w:sz w:val="15"/>
          <w:szCs w:val="15"/>
          <w:lang w:val="en-US" w:eastAsia="zh-CN"/>
        </w:rPr>
        <w:t>（1）取配制</w:t>
      </w:r>
      <w:r>
        <w:rPr>
          <w:rFonts w:hint="default" w:ascii="Times New Roman" w:hAnsi="Times New Roman" w:eastAsia="宋体" w:cs="Times New Roman"/>
          <w:color w:val="000000"/>
          <w:sz w:val="15"/>
          <w:szCs w:val="15"/>
        </w:rPr>
        <w:t>好的</w:t>
      </w:r>
      <w:r>
        <w:rPr>
          <w:rFonts w:hint="default" w:ascii="Times New Roman" w:hAnsi="Times New Roman" w:eastAsia="宋体" w:cs="Times New Roman"/>
          <w:color w:val="auto"/>
          <w:sz w:val="15"/>
          <w:szCs w:val="15"/>
        </w:rPr>
        <w:t>Tris-EDTA抗原修复液（pH9.0）</w:t>
      </w:r>
      <w:r>
        <w:rPr>
          <w:rFonts w:hint="default" w:ascii="Times New Roman" w:hAnsi="Times New Roman" w:eastAsia="宋体" w:cs="Times New Roman"/>
          <w:color w:val="000000"/>
          <w:sz w:val="15"/>
          <w:szCs w:val="15"/>
          <w:lang w:val="en-US" w:eastAsia="zh-CN"/>
        </w:rPr>
        <w:t>于高压锅</w:t>
      </w:r>
      <w:r>
        <w:rPr>
          <w:rFonts w:hint="default" w:ascii="Times New Roman" w:hAnsi="Times New Roman" w:eastAsia="宋体" w:cs="Times New Roman"/>
          <w:color w:val="000000"/>
          <w:sz w:val="15"/>
          <w:szCs w:val="15"/>
        </w:rPr>
        <w:t>中</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rPr>
        <w:t>将脱蜡水化后的组织切片置于耐高温塑料切片架上，放入</w:t>
      </w:r>
      <w:r>
        <w:rPr>
          <w:rFonts w:hint="default" w:ascii="Times New Roman" w:hAnsi="Times New Roman" w:eastAsia="宋体" w:cs="Times New Roman"/>
          <w:color w:val="000000"/>
          <w:sz w:val="15"/>
          <w:szCs w:val="15"/>
          <w:lang w:val="en-US" w:eastAsia="zh-CN"/>
        </w:rPr>
        <w:t>修复液</w:t>
      </w:r>
      <w:r>
        <w:rPr>
          <w:rFonts w:hint="default" w:ascii="Times New Roman" w:hAnsi="Times New Roman" w:eastAsia="宋体" w:cs="Times New Roman"/>
          <w:color w:val="000000"/>
          <w:sz w:val="15"/>
          <w:szCs w:val="15"/>
        </w:rPr>
        <w:t>中</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确保组织切片完全浸入修复液</w:t>
      </w:r>
      <w:r>
        <w:rPr>
          <w:rFonts w:hint="default" w:ascii="Times New Roman" w:hAnsi="Times New Roman" w:eastAsia="宋体" w:cs="Times New Roman"/>
          <w:color w:val="000000"/>
          <w:sz w:val="15"/>
          <w:szCs w:val="15"/>
          <w:lang w:eastAsia="zh-CN"/>
        </w:rPr>
        <w:t>；</w:t>
      </w:r>
    </w:p>
    <w:p w14:paraId="5A390150">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149" w:leftChars="71" w:firstLine="150" w:firstLineChars="100"/>
        <w:contextualSpacing/>
        <w:textAlignment w:val="auto"/>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2</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rPr>
        <w:t>盖上锅盖，扣上压力阀，大火（1600W/210℃）加热至喷气，从喷气开始</w:t>
      </w:r>
      <w:r>
        <w:rPr>
          <w:rFonts w:hint="default" w:ascii="Times New Roman" w:hAnsi="Times New Roman" w:eastAsia="宋体" w:cs="Times New Roman"/>
          <w:color w:val="000000"/>
          <w:sz w:val="15"/>
          <w:szCs w:val="15"/>
          <w:lang w:val="en-US" w:eastAsia="zh-CN"/>
        </w:rPr>
        <w:t>计时2分钟并</w:t>
      </w:r>
      <w:r>
        <w:rPr>
          <w:rFonts w:hint="default" w:ascii="Times New Roman" w:hAnsi="Times New Roman" w:eastAsia="宋体" w:cs="Times New Roman"/>
          <w:color w:val="000000"/>
          <w:sz w:val="15"/>
          <w:szCs w:val="15"/>
        </w:rPr>
        <w:t>调至中火（800W/130℃）</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计时结束后</w:t>
      </w:r>
      <w:r>
        <w:rPr>
          <w:rFonts w:hint="default" w:ascii="Times New Roman" w:hAnsi="Times New Roman" w:eastAsia="宋体" w:cs="Times New Roman"/>
          <w:color w:val="000000"/>
          <w:sz w:val="15"/>
          <w:szCs w:val="15"/>
        </w:rPr>
        <w:t>，关闭电磁炉，将</w:t>
      </w:r>
      <w:r>
        <w:rPr>
          <w:rFonts w:hint="default" w:ascii="Times New Roman" w:hAnsi="Times New Roman" w:eastAsia="宋体" w:cs="Times New Roman"/>
          <w:color w:val="000000"/>
          <w:sz w:val="15"/>
          <w:szCs w:val="15"/>
          <w:lang w:val="en-US" w:eastAsia="zh-CN"/>
        </w:rPr>
        <w:t>高压锅平稳</w:t>
      </w:r>
      <w:r>
        <w:rPr>
          <w:rFonts w:hint="default" w:ascii="Times New Roman" w:hAnsi="Times New Roman" w:eastAsia="宋体" w:cs="Times New Roman"/>
          <w:color w:val="000000"/>
          <w:sz w:val="15"/>
          <w:szCs w:val="15"/>
        </w:rPr>
        <w:t>移</w:t>
      </w:r>
      <w:r>
        <w:rPr>
          <w:rFonts w:hint="default" w:ascii="Times New Roman" w:hAnsi="Times New Roman" w:eastAsia="宋体" w:cs="Times New Roman"/>
          <w:color w:val="000000"/>
          <w:sz w:val="15"/>
          <w:szCs w:val="15"/>
          <w:lang w:val="en-US" w:eastAsia="zh-CN"/>
        </w:rPr>
        <w:t>离热源</w:t>
      </w:r>
      <w:r>
        <w:rPr>
          <w:rFonts w:hint="default" w:ascii="Times New Roman" w:hAnsi="Times New Roman" w:eastAsia="宋体" w:cs="Times New Roman"/>
          <w:color w:val="000000"/>
          <w:sz w:val="15"/>
          <w:szCs w:val="15"/>
        </w:rPr>
        <w:t>，自然冷却</w:t>
      </w:r>
      <w:r>
        <w:rPr>
          <w:rFonts w:hint="default" w:ascii="Times New Roman" w:hAnsi="Times New Roman" w:eastAsia="宋体" w:cs="Times New Roman"/>
          <w:color w:val="000000"/>
          <w:sz w:val="15"/>
          <w:szCs w:val="15"/>
          <w:lang w:val="en-US" w:eastAsia="zh-CN"/>
        </w:rPr>
        <w:t>5</w:t>
      </w:r>
      <w:r>
        <w:rPr>
          <w:rFonts w:hint="default" w:ascii="Times New Roman" w:hAnsi="Times New Roman" w:eastAsia="宋体" w:cs="Times New Roman"/>
          <w:color w:val="000000"/>
          <w:sz w:val="15"/>
          <w:szCs w:val="15"/>
        </w:rPr>
        <w:t>分钟；</w:t>
      </w:r>
    </w:p>
    <w:p w14:paraId="31BA7B21">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149" w:leftChars="71" w:firstLine="150" w:firstLineChars="100"/>
        <w:contextualSpacing/>
        <w:textAlignment w:val="auto"/>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3</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将高压</w:t>
      </w:r>
      <w:r>
        <w:rPr>
          <w:rFonts w:hint="default" w:ascii="Times New Roman" w:hAnsi="Times New Roman" w:eastAsia="宋体" w:cs="Times New Roman"/>
          <w:color w:val="000000"/>
          <w:sz w:val="15"/>
          <w:szCs w:val="15"/>
        </w:rPr>
        <w:t>锅</w:t>
      </w:r>
      <w:r>
        <w:rPr>
          <w:rFonts w:hint="default" w:ascii="Times New Roman" w:hAnsi="Times New Roman" w:eastAsia="宋体" w:cs="Times New Roman"/>
          <w:color w:val="000000"/>
          <w:sz w:val="15"/>
          <w:szCs w:val="15"/>
          <w:lang w:val="en-US" w:eastAsia="zh-CN"/>
        </w:rPr>
        <w:t>平稳</w:t>
      </w:r>
      <w:r>
        <w:rPr>
          <w:rFonts w:hint="default" w:ascii="Times New Roman" w:hAnsi="Times New Roman" w:eastAsia="宋体" w:cs="Times New Roman"/>
          <w:color w:val="000000"/>
          <w:sz w:val="15"/>
          <w:szCs w:val="15"/>
        </w:rPr>
        <w:t>转移</w:t>
      </w:r>
      <w:r>
        <w:rPr>
          <w:rFonts w:hint="default" w:ascii="Times New Roman" w:hAnsi="Times New Roman" w:eastAsia="宋体" w:cs="Times New Roman"/>
          <w:color w:val="000000"/>
          <w:sz w:val="15"/>
          <w:szCs w:val="15"/>
          <w:lang w:val="en-US" w:eastAsia="zh-CN"/>
        </w:rPr>
        <w:t>至</w:t>
      </w:r>
      <w:r>
        <w:rPr>
          <w:rFonts w:hint="default" w:ascii="Times New Roman" w:hAnsi="Times New Roman" w:eastAsia="宋体" w:cs="Times New Roman"/>
          <w:color w:val="000000"/>
          <w:sz w:val="15"/>
          <w:szCs w:val="15"/>
        </w:rPr>
        <w:t>水槽</w:t>
      </w:r>
      <w:r>
        <w:rPr>
          <w:rFonts w:hint="default" w:ascii="Times New Roman" w:hAnsi="Times New Roman" w:eastAsia="宋体" w:cs="Times New Roman"/>
          <w:color w:val="000000"/>
          <w:sz w:val="15"/>
          <w:szCs w:val="15"/>
          <w:lang w:val="en-US" w:eastAsia="zh-CN"/>
        </w:rPr>
        <w:t>中</w:t>
      </w:r>
      <w:r>
        <w:rPr>
          <w:rFonts w:hint="default" w:ascii="Times New Roman" w:hAnsi="Times New Roman" w:eastAsia="宋体" w:cs="Times New Roman"/>
          <w:color w:val="000000"/>
          <w:sz w:val="15"/>
          <w:szCs w:val="15"/>
        </w:rPr>
        <w:t>，</w:t>
      </w:r>
      <w:r>
        <w:rPr>
          <w:rFonts w:hint="default" w:ascii="Times New Roman" w:hAnsi="Times New Roman" w:eastAsia="宋体" w:cs="Times New Roman"/>
          <w:color w:val="000000"/>
          <w:sz w:val="15"/>
          <w:szCs w:val="15"/>
          <w:lang w:val="en-US" w:eastAsia="zh-CN"/>
        </w:rPr>
        <w:t>打开流水浇至</w:t>
      </w:r>
      <w:r>
        <w:rPr>
          <w:rFonts w:hint="default" w:ascii="Times New Roman" w:hAnsi="Times New Roman" w:eastAsia="宋体" w:cs="Times New Roman"/>
          <w:color w:val="000000"/>
          <w:sz w:val="15"/>
          <w:szCs w:val="15"/>
        </w:rPr>
        <w:t>锅盖</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使锅盖降温</w:t>
      </w:r>
      <w:r>
        <w:rPr>
          <w:rFonts w:hint="default" w:ascii="Times New Roman" w:hAnsi="Times New Roman" w:eastAsia="宋体" w:cs="Times New Roman"/>
          <w:color w:val="000000"/>
          <w:sz w:val="15"/>
          <w:szCs w:val="15"/>
        </w:rPr>
        <w:t>，直至自动锁芯落到原位，</w:t>
      </w:r>
      <w:r>
        <w:rPr>
          <w:rFonts w:hint="default" w:ascii="Times New Roman" w:hAnsi="Times New Roman" w:eastAsia="宋体" w:cs="Times New Roman"/>
          <w:color w:val="000000"/>
          <w:sz w:val="15"/>
          <w:szCs w:val="15"/>
          <w:lang w:val="en-US" w:eastAsia="zh-CN"/>
        </w:rPr>
        <w:t>关闭流水，</w:t>
      </w:r>
      <w:r>
        <w:rPr>
          <w:rFonts w:hint="default" w:ascii="Times New Roman" w:hAnsi="Times New Roman" w:eastAsia="宋体" w:cs="Times New Roman"/>
          <w:color w:val="000000"/>
          <w:sz w:val="15"/>
          <w:szCs w:val="15"/>
        </w:rPr>
        <w:t>取下限压阀，</w:t>
      </w:r>
      <w:r>
        <w:rPr>
          <w:rFonts w:hint="default" w:ascii="Times New Roman" w:hAnsi="Times New Roman" w:eastAsia="宋体" w:cs="Times New Roman"/>
          <w:color w:val="000000"/>
          <w:sz w:val="15"/>
          <w:szCs w:val="15"/>
          <w:lang w:val="en-US" w:eastAsia="zh-CN"/>
        </w:rPr>
        <w:t>小心</w:t>
      </w:r>
      <w:r>
        <w:rPr>
          <w:rFonts w:hint="default" w:ascii="Times New Roman" w:hAnsi="Times New Roman" w:eastAsia="宋体" w:cs="Times New Roman"/>
          <w:color w:val="000000"/>
          <w:sz w:val="15"/>
          <w:szCs w:val="15"/>
        </w:rPr>
        <w:t>打开锅盖</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注意蒸汽烫伤）</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再向锅内缓慢注入流水（避免流水直接冲向组织切片）</w:t>
      </w:r>
      <w:r>
        <w:rPr>
          <w:rFonts w:hint="default" w:ascii="Times New Roman" w:hAnsi="Times New Roman" w:eastAsia="宋体" w:cs="Times New Roman"/>
          <w:color w:val="000000"/>
          <w:sz w:val="15"/>
          <w:szCs w:val="15"/>
          <w:lang w:eastAsia="zh-CN"/>
        </w:rPr>
        <w:t>；</w:t>
      </w:r>
    </w:p>
    <w:p w14:paraId="1959E290">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149" w:leftChars="71" w:firstLine="150" w:firstLineChars="100"/>
        <w:contextualSpacing/>
        <w:textAlignment w:val="auto"/>
        <w:rPr>
          <w:rFonts w:hint="default" w:ascii="Times New Roman" w:hAnsi="Times New Roman" w:eastAsia="宋体" w:cs="Times New Roman"/>
          <w:color w:val="000000"/>
          <w:sz w:val="15"/>
          <w:szCs w:val="15"/>
          <w:lang w:eastAsia="zh-CN"/>
        </w:rPr>
      </w:pP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4</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rPr>
        <w:t>待温度降至</w:t>
      </w:r>
      <w:r>
        <w:rPr>
          <w:rFonts w:hint="default" w:ascii="Times New Roman" w:hAnsi="Times New Roman" w:eastAsia="宋体" w:cs="Times New Roman"/>
          <w:color w:val="000000"/>
          <w:sz w:val="15"/>
          <w:szCs w:val="15"/>
          <w:lang w:val="en-US" w:eastAsia="zh-CN"/>
        </w:rPr>
        <w:t>40</w:t>
      </w:r>
      <w:r>
        <w:rPr>
          <w:rFonts w:hint="default" w:ascii="Times New Roman" w:hAnsi="Times New Roman" w:eastAsia="宋体" w:cs="Times New Roman"/>
          <w:color w:val="000000"/>
          <w:sz w:val="15"/>
          <w:szCs w:val="15"/>
        </w:rPr>
        <w:t>℃以下时</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水温不烫手</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rPr>
        <w:t>，取出</w:t>
      </w:r>
      <w:r>
        <w:rPr>
          <w:rFonts w:hint="default" w:ascii="Times New Roman" w:hAnsi="Times New Roman" w:eastAsia="宋体" w:cs="Times New Roman"/>
          <w:color w:val="000000"/>
          <w:sz w:val="15"/>
          <w:szCs w:val="15"/>
          <w:lang w:val="en-US" w:eastAsia="zh-CN"/>
        </w:rPr>
        <w:t>切片架并快速浸入蒸馏水中（避免干片）</w:t>
      </w:r>
      <w:r>
        <w:rPr>
          <w:rFonts w:hint="default" w:ascii="Times New Roman" w:hAnsi="Times New Roman" w:eastAsia="宋体" w:cs="Times New Roman"/>
          <w:color w:val="000000"/>
          <w:sz w:val="15"/>
          <w:szCs w:val="15"/>
        </w:rPr>
        <w:t>，用蒸馏水轻柔冲洗3分钟×2次</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冲洗后浸泡在蒸馏水中准备阻断</w:t>
      </w:r>
      <w:r>
        <w:rPr>
          <w:rFonts w:hint="default" w:ascii="Times New Roman" w:hAnsi="Times New Roman" w:eastAsia="宋体" w:cs="Times New Roman"/>
          <w:color w:val="000000"/>
          <w:sz w:val="15"/>
          <w:szCs w:val="15"/>
          <w:lang w:eastAsia="zh-CN"/>
        </w:rPr>
        <w:t>。</w:t>
      </w:r>
    </w:p>
    <w:p w14:paraId="08BB71D7">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firstLine="301" w:firstLineChars="200"/>
        <w:contextualSpacing/>
        <w:textAlignment w:val="auto"/>
        <w:rPr>
          <w:rFonts w:hint="default" w:ascii="Times New Roman" w:hAnsi="Times New Roman" w:eastAsia="宋体" w:cs="Times New Roman"/>
          <w:b/>
          <w:bCs/>
          <w:color w:val="000000"/>
          <w:sz w:val="15"/>
          <w:szCs w:val="15"/>
          <w:lang w:val="en-US" w:eastAsia="zh-CN"/>
        </w:rPr>
      </w:pPr>
      <w:r>
        <w:rPr>
          <w:rFonts w:hint="default" w:ascii="Times New Roman" w:hAnsi="Times New Roman" w:eastAsia="宋体" w:cs="Times New Roman"/>
          <w:b/>
          <w:bCs/>
          <w:color w:val="000000"/>
          <w:sz w:val="15"/>
          <w:szCs w:val="15"/>
          <w:lang w:val="en-US" w:eastAsia="zh-CN"/>
        </w:rPr>
        <w:t>（注：修复后组织切片易干片，后续操作中“甩去组织切片多余液体”皆需注意不能让组织干片，否则会影响染色效果。）</w:t>
      </w:r>
    </w:p>
    <w:p w14:paraId="7DD2ED30">
      <w:pPr>
        <w:keepNext w:val="0"/>
        <w:keepLines w:val="0"/>
        <w:pageBreakBefore w:val="0"/>
        <w:widowControl/>
        <w:numPr>
          <w:ilvl w:val="0"/>
          <w:numId w:val="2"/>
        </w:numPr>
        <w:kinsoku/>
        <w:wordWrap/>
        <w:overflowPunct/>
        <w:topLinePunct w:val="0"/>
        <w:autoSpaceDE/>
        <w:autoSpaceDN/>
        <w:bidi w:val="0"/>
        <w:adjustRightInd/>
        <w:snapToGrid w:val="0"/>
        <w:spacing w:before="100" w:beforeAutospacing="1" w:after="100" w:afterAutospacing="1" w:line="240" w:lineRule="auto"/>
        <w:contextualSpacing/>
        <w:textAlignment w:val="auto"/>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阻断内源性过氧化物酶</w:t>
      </w:r>
    </w:p>
    <w:p w14:paraId="453994C5">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149" w:leftChars="71" w:firstLine="150" w:firstLineChars="100"/>
        <w:contextualSpacing/>
        <w:textAlignment w:val="auto"/>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（1）甩去组织切片多余液体，将玻片快速置于过氧化物酶阻断剂（3% H</w:t>
      </w:r>
      <w:r>
        <w:rPr>
          <w:rFonts w:hint="default" w:ascii="Times New Roman" w:hAnsi="Times New Roman" w:eastAsia="宋体" w:cs="Times New Roman"/>
          <w:color w:val="000000"/>
          <w:sz w:val="15"/>
          <w:szCs w:val="15"/>
          <w:vertAlign w:val="subscript"/>
          <w:lang w:val="en-US" w:eastAsia="zh-CN"/>
        </w:rPr>
        <w:t>2</w:t>
      </w:r>
      <w:r>
        <w:rPr>
          <w:rFonts w:hint="default" w:ascii="Times New Roman" w:hAnsi="Times New Roman" w:eastAsia="宋体" w:cs="Times New Roman"/>
          <w:color w:val="000000"/>
          <w:sz w:val="15"/>
          <w:szCs w:val="15"/>
          <w:lang w:val="en-US" w:eastAsia="zh-CN"/>
        </w:rPr>
        <w:t>O</w:t>
      </w:r>
      <w:r>
        <w:rPr>
          <w:rFonts w:hint="default" w:ascii="Times New Roman" w:hAnsi="Times New Roman" w:eastAsia="宋体" w:cs="Times New Roman"/>
          <w:color w:val="000000"/>
          <w:sz w:val="15"/>
          <w:szCs w:val="15"/>
          <w:vertAlign w:val="subscript"/>
          <w:lang w:val="en-US" w:eastAsia="zh-CN"/>
        </w:rPr>
        <w:t>2</w:t>
      </w:r>
      <w:r>
        <w:rPr>
          <w:rFonts w:hint="default" w:ascii="Times New Roman" w:hAnsi="Times New Roman" w:eastAsia="宋体" w:cs="Times New Roman"/>
          <w:color w:val="000000"/>
          <w:sz w:val="15"/>
          <w:szCs w:val="15"/>
          <w:lang w:val="en-US" w:eastAsia="zh-CN"/>
        </w:rPr>
        <w:t>）中浸泡10分钟；</w:t>
      </w:r>
    </w:p>
    <w:p w14:paraId="3F274C6F">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149" w:leftChars="71" w:firstLine="150" w:firstLineChars="100"/>
        <w:contextualSpacing/>
        <w:textAlignment w:val="auto"/>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（2）阻断结束，用蒸馏水轻柔冲洗3分钟×2次，冲洗后浸泡在蒸馏水中准备画圈。</w:t>
      </w:r>
    </w:p>
    <w:p w14:paraId="4621634E">
      <w:pPr>
        <w:keepNext w:val="0"/>
        <w:keepLines w:val="0"/>
        <w:pageBreakBefore w:val="0"/>
        <w:widowControl/>
        <w:numPr>
          <w:ilvl w:val="0"/>
          <w:numId w:val="2"/>
        </w:numPr>
        <w:kinsoku/>
        <w:wordWrap/>
        <w:overflowPunct/>
        <w:topLinePunct w:val="0"/>
        <w:autoSpaceDE/>
        <w:autoSpaceDN/>
        <w:bidi w:val="0"/>
        <w:adjustRightInd/>
        <w:snapToGrid w:val="0"/>
        <w:spacing w:before="100" w:beforeAutospacing="1" w:after="100" w:afterAutospacing="1" w:line="240" w:lineRule="auto"/>
        <w:contextualSpacing/>
        <w:textAlignment w:val="auto"/>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lang w:val="en-US" w:eastAsia="zh-CN"/>
        </w:rPr>
        <w:t>画圈</w:t>
      </w:r>
    </w:p>
    <w:p w14:paraId="232C0138">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359" w:leftChars="171" w:firstLine="300" w:firstLineChars="200"/>
        <w:contextualSpacing/>
        <w:jc w:val="left"/>
        <w:textAlignment w:val="auto"/>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甩去或小心拭去组织切片周围多余液体，用免疫组化油笔围绕组织画圈，画圈位置应距组织边缘2~3mm处，确保整个圈包围全部组织后用蒸馏水轻柔冲洗3分钟×2次，冲洗掉多余油液后浸泡在PBS</w:t>
      </w:r>
      <w:r>
        <w:rPr>
          <w:rFonts w:hint="eastAsia" w:ascii="Times New Roman" w:hAnsi="Times New Roman" w:cs="Times New Roman"/>
          <w:color w:val="000000"/>
          <w:sz w:val="15"/>
          <w:szCs w:val="15"/>
          <w:lang w:val="en-US" w:eastAsia="zh-CN"/>
        </w:rPr>
        <w:t>缓冲液</w:t>
      </w:r>
      <w:r>
        <w:rPr>
          <w:rFonts w:hint="default" w:ascii="Times New Roman" w:hAnsi="Times New Roman" w:eastAsia="宋体" w:cs="Times New Roman"/>
          <w:color w:val="000000"/>
          <w:sz w:val="15"/>
          <w:szCs w:val="15"/>
          <w:lang w:val="en-US" w:eastAsia="zh-CN"/>
        </w:rPr>
        <w:t>中准备一抗孵育。</w:t>
      </w:r>
    </w:p>
    <w:p w14:paraId="7F3130A9">
      <w:pPr>
        <w:keepNext w:val="0"/>
        <w:keepLines w:val="0"/>
        <w:pageBreakBefore w:val="0"/>
        <w:widowControl/>
        <w:numPr>
          <w:ilvl w:val="0"/>
          <w:numId w:val="2"/>
        </w:numPr>
        <w:kinsoku/>
        <w:wordWrap/>
        <w:overflowPunct/>
        <w:topLinePunct w:val="0"/>
        <w:autoSpaceDE/>
        <w:autoSpaceDN/>
        <w:bidi w:val="0"/>
        <w:adjustRightInd/>
        <w:snapToGrid w:val="0"/>
        <w:spacing w:before="100" w:beforeAutospacing="1" w:after="100" w:afterAutospacing="1" w:line="240" w:lineRule="auto"/>
        <w:contextualSpacing/>
        <w:textAlignment w:val="auto"/>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滴加一抗或对照试剂</w:t>
      </w:r>
    </w:p>
    <w:p w14:paraId="3FF00C17">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149" w:leftChars="71" w:firstLine="150" w:firstLineChars="100"/>
        <w:contextualSpacing/>
        <w:textAlignment w:val="auto"/>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 xml:space="preserve">（1）甩去组织切片多余液体，待油笔画的圈完全显现后滴加一抗工作液使其完全覆盖组织，在湿盒中室温孵育30分钟； </w:t>
      </w:r>
    </w:p>
    <w:p w14:paraId="7EE362BD">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left="149" w:leftChars="71" w:firstLine="150" w:firstLineChars="100"/>
        <w:contextualSpacing/>
        <w:textAlignment w:val="auto"/>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（2）一抗孵育结束，用PBS缓冲液冲洗2~3次，再转移到PBS缸中浸洗2分钟×3次。</w:t>
      </w:r>
    </w:p>
    <w:p w14:paraId="0093347E">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firstLine="301" w:firstLineChars="200"/>
        <w:contextualSpacing/>
        <w:textAlignment w:val="auto"/>
        <w:rPr>
          <w:rFonts w:hint="default" w:ascii="Times New Roman" w:hAnsi="Times New Roman" w:eastAsia="宋体" w:cs="Times New Roman"/>
          <w:b/>
          <w:bCs/>
          <w:color w:val="000000"/>
          <w:sz w:val="15"/>
          <w:szCs w:val="15"/>
          <w:lang w:val="en-US" w:eastAsia="zh-CN"/>
        </w:rPr>
      </w:pPr>
      <w:r>
        <w:rPr>
          <w:rFonts w:hint="default" w:ascii="Times New Roman" w:hAnsi="Times New Roman" w:eastAsia="宋体" w:cs="Times New Roman"/>
          <w:b/>
          <w:bCs/>
          <w:color w:val="000000"/>
          <w:sz w:val="15"/>
          <w:szCs w:val="15"/>
          <w:lang w:val="en-US" w:eastAsia="zh-CN"/>
        </w:rPr>
        <w:t>（注：实验过程中，使用PBS缓冲液冲洗组织切片时，勿直接冲洗组织表面，否则可能导致掉片。）</w:t>
      </w:r>
    </w:p>
    <w:p w14:paraId="084A0634">
      <w:pPr>
        <w:keepNext w:val="0"/>
        <w:keepLines w:val="0"/>
        <w:pageBreakBefore w:val="0"/>
        <w:widowControl/>
        <w:numPr>
          <w:ilvl w:val="0"/>
          <w:numId w:val="2"/>
        </w:numPr>
        <w:kinsoku/>
        <w:wordWrap/>
        <w:overflowPunct/>
        <w:topLinePunct w:val="0"/>
        <w:autoSpaceDE/>
        <w:autoSpaceDN/>
        <w:bidi w:val="0"/>
        <w:adjustRightInd/>
        <w:snapToGrid w:val="0"/>
        <w:spacing w:before="100" w:beforeAutospacing="1" w:after="100" w:afterAutospacing="1" w:line="240" w:lineRule="auto"/>
        <w:contextualSpacing/>
        <w:textAlignment w:val="auto"/>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滴加HRP酶标记的二抗聚合物</w:t>
      </w:r>
    </w:p>
    <w:p w14:paraId="0040D586">
      <w:pPr>
        <w:keepNext w:val="0"/>
        <w:keepLines w:val="0"/>
        <w:pageBreakBefore w:val="0"/>
        <w:widowControl/>
        <w:numPr>
          <w:ilvl w:val="0"/>
          <w:numId w:val="0"/>
        </w:numPr>
        <w:kinsoku/>
        <w:wordWrap/>
        <w:overflowPunct/>
        <w:topLinePunct w:val="0"/>
        <w:autoSpaceDE/>
        <w:autoSpaceDN/>
        <w:bidi w:val="0"/>
        <w:adjustRightInd/>
        <w:snapToGrid w:val="0"/>
        <w:spacing w:before="100" w:beforeAutospacing="1" w:after="100" w:afterAutospacing="1" w:line="240" w:lineRule="auto"/>
        <w:ind w:left="149" w:leftChars="71" w:firstLine="150" w:firstLineChars="100"/>
        <w:contextualSpacing/>
        <w:textAlignment w:val="auto"/>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 xml:space="preserve">（1）甩去组织切片多余液体，待油笔画的圈完全显现后滴加一步法二抗试剂使其完全覆盖组织，在湿盒中室温孵育20分钟； </w:t>
      </w:r>
    </w:p>
    <w:p w14:paraId="60599468">
      <w:pPr>
        <w:keepNext w:val="0"/>
        <w:keepLines w:val="0"/>
        <w:pageBreakBefore w:val="0"/>
        <w:widowControl/>
        <w:numPr>
          <w:ilvl w:val="0"/>
          <w:numId w:val="0"/>
        </w:numPr>
        <w:kinsoku/>
        <w:wordWrap/>
        <w:overflowPunct/>
        <w:topLinePunct w:val="0"/>
        <w:autoSpaceDE/>
        <w:autoSpaceDN/>
        <w:bidi w:val="0"/>
        <w:adjustRightInd/>
        <w:snapToGrid w:val="0"/>
        <w:spacing w:before="100" w:beforeAutospacing="1" w:after="100" w:afterAutospacing="1" w:line="240" w:lineRule="auto"/>
        <w:ind w:firstLine="300" w:firstLineChars="200"/>
        <w:contextualSpacing/>
        <w:textAlignment w:val="auto"/>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（2）二抗孵育结束，用PBS缓冲液冲洗2~3次，再转移到PBS缸中浸洗2分钟×3次。</w:t>
      </w:r>
    </w:p>
    <w:p w14:paraId="588BB0C1">
      <w:pPr>
        <w:keepNext w:val="0"/>
        <w:keepLines w:val="0"/>
        <w:pageBreakBefore w:val="0"/>
        <w:widowControl/>
        <w:numPr>
          <w:ilvl w:val="0"/>
          <w:numId w:val="2"/>
        </w:numPr>
        <w:kinsoku/>
        <w:wordWrap/>
        <w:overflowPunct/>
        <w:topLinePunct w:val="0"/>
        <w:autoSpaceDE/>
        <w:autoSpaceDN/>
        <w:bidi w:val="0"/>
        <w:adjustRightInd/>
        <w:snapToGrid w:val="0"/>
        <w:spacing w:before="100" w:beforeAutospacing="1" w:after="100" w:afterAutospacing="1" w:line="240" w:lineRule="auto"/>
        <w:contextualSpacing/>
        <w:textAlignment w:val="auto"/>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lang w:val="en-US" w:eastAsia="zh-CN"/>
        </w:rPr>
        <w:t>滴加</w:t>
      </w:r>
      <w:r>
        <w:rPr>
          <w:rFonts w:hint="default" w:ascii="Times New Roman" w:hAnsi="Times New Roman" w:eastAsia="宋体" w:cs="Times New Roman"/>
          <w:color w:val="000000"/>
          <w:sz w:val="15"/>
          <w:szCs w:val="15"/>
        </w:rPr>
        <w:t>DAB显色</w:t>
      </w:r>
      <w:r>
        <w:rPr>
          <w:rFonts w:hint="default" w:ascii="Times New Roman" w:hAnsi="Times New Roman" w:eastAsia="宋体" w:cs="Times New Roman"/>
          <w:color w:val="000000"/>
          <w:sz w:val="15"/>
          <w:szCs w:val="15"/>
          <w:lang w:val="en-US" w:eastAsia="zh-CN"/>
        </w:rPr>
        <w:t>剂</w:t>
      </w:r>
    </w:p>
    <w:p w14:paraId="1EC25F9B">
      <w:pPr>
        <w:keepNext w:val="0"/>
        <w:keepLines w:val="0"/>
        <w:pageBreakBefore w:val="0"/>
        <w:widowControl/>
        <w:numPr>
          <w:ilvl w:val="0"/>
          <w:numId w:val="0"/>
        </w:numPr>
        <w:kinsoku/>
        <w:wordWrap/>
        <w:overflowPunct/>
        <w:topLinePunct w:val="0"/>
        <w:autoSpaceDE/>
        <w:autoSpaceDN/>
        <w:bidi w:val="0"/>
        <w:adjustRightInd/>
        <w:snapToGrid w:val="0"/>
        <w:spacing w:before="100" w:beforeAutospacing="1" w:after="100" w:afterAutospacing="1" w:line="240" w:lineRule="auto"/>
        <w:ind w:firstLine="300" w:firstLineChars="200"/>
        <w:contextualSpacing/>
        <w:textAlignment w:val="auto"/>
        <w:rPr>
          <w:rFonts w:hint="default" w:ascii="Times New Roman" w:hAnsi="Times New Roman" w:eastAsia="宋体" w:cs="Times New Roman"/>
          <w:color w:val="000000"/>
          <w:sz w:val="15"/>
          <w:szCs w:val="15"/>
          <w:lang w:eastAsia="zh-CN"/>
        </w:rPr>
      </w:pP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1</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甩去组织切片多余液体</w:t>
      </w:r>
      <w:r>
        <w:rPr>
          <w:rFonts w:hint="default" w:ascii="Times New Roman" w:hAnsi="Times New Roman" w:eastAsia="宋体" w:cs="Times New Roman"/>
          <w:color w:val="000000"/>
          <w:sz w:val="15"/>
          <w:szCs w:val="15"/>
        </w:rPr>
        <w:t>，滴加新鲜配制的DAB显色</w:t>
      </w:r>
      <w:r>
        <w:rPr>
          <w:rFonts w:hint="default" w:ascii="Times New Roman" w:hAnsi="Times New Roman" w:eastAsia="宋体" w:cs="Times New Roman"/>
          <w:color w:val="000000"/>
          <w:sz w:val="15"/>
          <w:szCs w:val="15"/>
          <w:lang w:val="en-US" w:eastAsia="zh-CN"/>
        </w:rPr>
        <w:t>剂使其完全覆盖组织</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 xml:space="preserve">在湿盒中室温孵育5分钟； </w:t>
      </w:r>
    </w:p>
    <w:p w14:paraId="7E5D9DF5">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firstLine="300" w:firstLineChars="200"/>
        <w:contextualSpacing/>
        <w:textAlignment w:val="auto"/>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lang w:val="en-US" w:eastAsia="zh-CN"/>
        </w:rPr>
        <w:t>（2）DAB孵育结束，将玻片上的DAB 震落于纸巾上，再放入蒸馏水中充分冲洗</w:t>
      </w:r>
      <w:r>
        <w:rPr>
          <w:rFonts w:hint="default" w:ascii="Times New Roman" w:hAnsi="Times New Roman" w:eastAsia="宋体" w:cs="Times New Roman"/>
          <w:color w:val="000000"/>
          <w:sz w:val="15"/>
          <w:szCs w:val="15"/>
        </w:rPr>
        <w:t>3分钟×2次</w:t>
      </w:r>
      <w:r>
        <w:rPr>
          <w:rFonts w:hint="default" w:ascii="Times New Roman" w:hAnsi="Times New Roman" w:eastAsia="宋体" w:cs="Times New Roman"/>
          <w:color w:val="000000"/>
          <w:sz w:val="15"/>
          <w:szCs w:val="15"/>
          <w:lang w:val="en-US" w:eastAsia="zh-CN"/>
        </w:rPr>
        <w:t>，终止染色。</w:t>
      </w:r>
    </w:p>
    <w:p w14:paraId="59190D3F">
      <w:pPr>
        <w:keepNext w:val="0"/>
        <w:keepLines w:val="0"/>
        <w:pageBreakBefore w:val="0"/>
        <w:widowControl/>
        <w:numPr>
          <w:ilvl w:val="0"/>
          <w:numId w:val="2"/>
        </w:numPr>
        <w:kinsoku/>
        <w:wordWrap/>
        <w:overflowPunct/>
        <w:topLinePunct w:val="0"/>
        <w:autoSpaceDE/>
        <w:autoSpaceDN/>
        <w:bidi w:val="0"/>
        <w:adjustRightInd/>
        <w:snapToGrid w:val="0"/>
        <w:spacing w:before="100" w:beforeAutospacing="1" w:after="100" w:afterAutospacing="1" w:line="240" w:lineRule="auto"/>
        <w:contextualSpacing/>
        <w:textAlignment w:val="auto"/>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复染</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返蓝</w:t>
      </w:r>
    </w:p>
    <w:p w14:paraId="0E895E89">
      <w:pPr>
        <w:keepNext w:val="0"/>
        <w:keepLines w:val="0"/>
        <w:pageBreakBefore w:val="0"/>
        <w:widowControl/>
        <w:numPr>
          <w:ilvl w:val="0"/>
          <w:numId w:val="3"/>
        </w:numPr>
        <w:kinsoku/>
        <w:wordWrap/>
        <w:overflowPunct/>
        <w:topLinePunct w:val="0"/>
        <w:autoSpaceDE/>
        <w:autoSpaceDN/>
        <w:bidi w:val="0"/>
        <w:adjustRightInd/>
        <w:snapToGrid w:val="0"/>
        <w:spacing w:before="100" w:beforeAutospacing="1" w:after="100" w:afterAutospacing="1" w:line="240" w:lineRule="auto"/>
        <w:ind w:left="149" w:leftChars="71" w:firstLine="150" w:firstLineChars="100"/>
        <w:contextualSpacing/>
        <w:textAlignment w:val="auto"/>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蒸馏水充分冲洗后，置于苏木素</w:t>
      </w:r>
      <w:r>
        <w:rPr>
          <w:rFonts w:hint="eastAsia" w:ascii="Times New Roman" w:hAnsi="Times New Roman" w:cs="Times New Roman"/>
          <w:color w:val="000000"/>
          <w:sz w:val="15"/>
          <w:szCs w:val="15"/>
          <w:lang w:val="en-US" w:eastAsia="zh-CN"/>
        </w:rPr>
        <w:t>染色液</w:t>
      </w:r>
      <w:r>
        <w:rPr>
          <w:rFonts w:hint="default" w:ascii="Times New Roman" w:hAnsi="Times New Roman" w:eastAsia="宋体" w:cs="Times New Roman"/>
          <w:color w:val="000000"/>
          <w:sz w:val="15"/>
          <w:szCs w:val="15"/>
          <w:lang w:val="en-US" w:eastAsia="zh-CN"/>
        </w:rPr>
        <w:t>中复染8~10秒，复染后用蒸馏水冲洗干净</w:t>
      </w:r>
      <w:r>
        <w:rPr>
          <w:rFonts w:hint="eastAsia" w:ascii="Times New Roman" w:hAnsi="Times New Roman" w:cs="Times New Roman"/>
          <w:color w:val="000000"/>
          <w:sz w:val="15"/>
          <w:szCs w:val="15"/>
          <w:lang w:val="en-US" w:eastAsia="zh-CN"/>
        </w:rPr>
        <w:t>；</w:t>
      </w:r>
    </w:p>
    <w:p w14:paraId="3A34121E">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firstLine="300" w:firstLineChars="200"/>
        <w:contextualSpacing/>
        <w:textAlignment w:val="auto"/>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（2）复染后，置于1%碳酸锂</w:t>
      </w:r>
      <w:r>
        <w:rPr>
          <w:rFonts w:hint="eastAsia" w:ascii="Times New Roman" w:hAnsi="Times New Roman" w:cs="Times New Roman"/>
          <w:color w:val="000000"/>
          <w:sz w:val="15"/>
          <w:szCs w:val="15"/>
          <w:lang w:val="en-US" w:eastAsia="zh-CN"/>
        </w:rPr>
        <w:t>溶液</w:t>
      </w:r>
      <w:r>
        <w:rPr>
          <w:rFonts w:hint="default" w:ascii="Times New Roman" w:hAnsi="Times New Roman" w:eastAsia="宋体" w:cs="Times New Roman"/>
          <w:color w:val="000000"/>
          <w:sz w:val="15"/>
          <w:szCs w:val="15"/>
          <w:lang w:val="en-US" w:eastAsia="zh-CN"/>
        </w:rPr>
        <w:t>中返蓝8~15秒，返蓝后用蒸馏水冲洗干净。</w:t>
      </w:r>
    </w:p>
    <w:p w14:paraId="512F6622">
      <w:pPr>
        <w:snapToGrid w:val="0"/>
        <w:spacing w:before="100" w:beforeAutospacing="1" w:after="100" w:afterAutospacing="1" w:line="240" w:lineRule="auto"/>
        <w:ind w:leftChars="100" w:firstLine="151" w:firstLineChars="100"/>
        <w:contextualSpacing/>
        <w:rPr>
          <w:rFonts w:hint="default" w:ascii="Times New Roman" w:hAnsi="Times New Roman" w:cs="Times New Roman"/>
          <w:b/>
          <w:bCs/>
          <w:color w:val="000000"/>
          <w:sz w:val="15"/>
          <w:szCs w:val="15"/>
          <w:lang w:val="en-US" w:eastAsia="zh-CN"/>
        </w:rPr>
      </w:pPr>
      <w:r>
        <w:rPr>
          <w:rFonts w:hint="default" w:ascii="Times New Roman" w:hAnsi="Times New Roman" w:cs="Times New Roman"/>
          <w:b/>
          <w:bCs/>
          <w:color w:val="000000"/>
          <w:sz w:val="15"/>
          <w:szCs w:val="15"/>
          <w:lang w:val="en-US" w:eastAsia="zh-CN"/>
        </w:rPr>
        <w:t>（注：依据不同苏木素染色液的强度调整复染时间，以细胞核呈现淡蓝到深蓝颜色为宜，过染或不足染色都有可能影响结果的判断。）</w:t>
      </w:r>
    </w:p>
    <w:p w14:paraId="6436DFF8">
      <w:pPr>
        <w:keepNext w:val="0"/>
        <w:keepLines w:val="0"/>
        <w:pageBreakBefore w:val="0"/>
        <w:widowControl/>
        <w:numPr>
          <w:ilvl w:val="0"/>
          <w:numId w:val="2"/>
        </w:numPr>
        <w:kinsoku/>
        <w:wordWrap/>
        <w:overflowPunct/>
        <w:topLinePunct w:val="0"/>
        <w:autoSpaceDE/>
        <w:autoSpaceDN/>
        <w:bidi w:val="0"/>
        <w:adjustRightInd/>
        <w:snapToGrid w:val="0"/>
        <w:spacing w:before="100" w:beforeAutospacing="1" w:after="100" w:afterAutospacing="1" w:line="240" w:lineRule="auto"/>
        <w:contextualSpacing/>
        <w:textAlignment w:val="auto"/>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脱水、透明、封片</w:t>
      </w:r>
    </w:p>
    <w:p w14:paraId="5AF2D858">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firstLine="300" w:firstLineChars="200"/>
        <w:contextualSpacing/>
        <w:textAlignment w:val="auto"/>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1</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lang w:val="en-US" w:eastAsia="zh-CN"/>
        </w:rPr>
        <w:t>甩去组织切片多余液体</w:t>
      </w:r>
      <w:r>
        <w:rPr>
          <w:rFonts w:hint="default" w:ascii="Times New Roman" w:hAnsi="Times New Roman" w:eastAsia="宋体" w:cs="Times New Roman"/>
          <w:color w:val="000000"/>
          <w:sz w:val="15"/>
          <w:szCs w:val="15"/>
        </w:rPr>
        <w:t>，将</w:t>
      </w:r>
      <w:r>
        <w:rPr>
          <w:rFonts w:hint="default" w:ascii="Times New Roman" w:hAnsi="Times New Roman" w:eastAsia="宋体" w:cs="Times New Roman"/>
          <w:color w:val="000000"/>
          <w:sz w:val="15"/>
          <w:szCs w:val="15"/>
          <w:lang w:val="en-US" w:eastAsia="zh-CN"/>
        </w:rPr>
        <w:t>组织</w:t>
      </w:r>
      <w:r>
        <w:rPr>
          <w:rFonts w:hint="default" w:ascii="Times New Roman" w:hAnsi="Times New Roman" w:eastAsia="宋体" w:cs="Times New Roman"/>
          <w:color w:val="000000"/>
          <w:sz w:val="15"/>
          <w:szCs w:val="15"/>
        </w:rPr>
        <w:t>切片</w:t>
      </w:r>
      <w:r>
        <w:rPr>
          <w:rFonts w:hint="default" w:ascii="Times New Roman" w:hAnsi="Times New Roman" w:eastAsia="宋体" w:cs="Times New Roman"/>
          <w:color w:val="000000"/>
          <w:sz w:val="15"/>
          <w:szCs w:val="15"/>
          <w:lang w:val="en-US" w:eastAsia="zh-CN"/>
        </w:rPr>
        <w:t>依次</w:t>
      </w:r>
      <w:r>
        <w:rPr>
          <w:rFonts w:hint="default" w:ascii="Times New Roman" w:hAnsi="Times New Roman" w:eastAsia="宋体" w:cs="Times New Roman"/>
          <w:color w:val="000000"/>
          <w:sz w:val="15"/>
          <w:szCs w:val="15"/>
        </w:rPr>
        <w:t>置于85%乙醇</w:t>
      </w:r>
      <w:r>
        <w:rPr>
          <w:rFonts w:hint="default" w:ascii="Times New Roman" w:hAnsi="Times New Roman" w:eastAsia="宋体" w:cs="Times New Roman"/>
          <w:color w:val="000000"/>
          <w:sz w:val="15"/>
          <w:szCs w:val="15"/>
          <w:lang w:eastAsia="zh-CN"/>
        </w:rPr>
        <w:t>、</w:t>
      </w:r>
      <w:r>
        <w:rPr>
          <w:rFonts w:hint="default" w:ascii="Times New Roman" w:hAnsi="Times New Roman" w:eastAsia="宋体" w:cs="Times New Roman"/>
          <w:color w:val="000000"/>
          <w:sz w:val="15"/>
          <w:szCs w:val="15"/>
        </w:rPr>
        <w:t>95%乙醇</w:t>
      </w:r>
      <w:r>
        <w:rPr>
          <w:rFonts w:hint="eastAsia" w:ascii="Times New Roman" w:hAnsi="Times New Roman" w:cs="Times New Roman"/>
          <w:color w:val="000000"/>
          <w:sz w:val="15"/>
          <w:szCs w:val="15"/>
          <w:lang w:eastAsia="zh-CN"/>
        </w:rPr>
        <w:t>、</w:t>
      </w:r>
      <w:r>
        <w:rPr>
          <w:rFonts w:hint="default" w:ascii="Times New Roman" w:hAnsi="Times New Roman" w:eastAsia="宋体" w:cs="Times New Roman"/>
          <w:color w:val="000000"/>
          <w:sz w:val="15"/>
          <w:szCs w:val="15"/>
        </w:rPr>
        <w:t>无水乙醇</w:t>
      </w:r>
      <w:r>
        <w:rPr>
          <w:rFonts w:hint="default" w:ascii="Times New Roman" w:hAnsi="Times New Roman" w:eastAsia="宋体" w:cs="Times New Roman"/>
          <w:color w:val="000000"/>
          <w:sz w:val="15"/>
          <w:szCs w:val="15"/>
          <w:lang w:val="en-US" w:eastAsia="zh-CN"/>
        </w:rPr>
        <w:t>中，各浸泡3分钟；</w:t>
      </w:r>
    </w:p>
    <w:p w14:paraId="3BDF9297">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ind w:firstLine="300" w:firstLineChars="200"/>
        <w:contextualSpacing/>
        <w:textAlignment w:val="auto"/>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lang w:val="en-US" w:eastAsia="zh-CN"/>
        </w:rPr>
        <w:t>（2）</w:t>
      </w:r>
      <w:r>
        <w:rPr>
          <w:rFonts w:hint="eastAsia" w:ascii="Times New Roman" w:hAnsi="Times New Roman" w:cs="Times New Roman"/>
          <w:color w:val="000000"/>
          <w:sz w:val="15"/>
          <w:szCs w:val="15"/>
          <w:lang w:val="en-US" w:eastAsia="zh-CN"/>
        </w:rPr>
        <w:t>脱水结束</w:t>
      </w:r>
      <w:r>
        <w:rPr>
          <w:rFonts w:hint="default" w:ascii="Times New Roman" w:hAnsi="Times New Roman" w:eastAsia="宋体" w:cs="Times New Roman"/>
          <w:color w:val="000000"/>
          <w:sz w:val="15"/>
          <w:szCs w:val="15"/>
          <w:lang w:val="en-US" w:eastAsia="zh-CN"/>
        </w:rPr>
        <w:t>，</w:t>
      </w:r>
      <w:r>
        <w:rPr>
          <w:rFonts w:hint="default" w:ascii="Times New Roman" w:hAnsi="Times New Roman" w:eastAsia="宋体" w:cs="Times New Roman"/>
          <w:color w:val="000000"/>
          <w:sz w:val="15"/>
          <w:szCs w:val="15"/>
        </w:rPr>
        <w:t>将</w:t>
      </w:r>
      <w:r>
        <w:rPr>
          <w:rFonts w:hint="eastAsia" w:ascii="Times New Roman" w:hAnsi="Times New Roman" w:cs="Times New Roman"/>
          <w:color w:val="000000"/>
          <w:sz w:val="15"/>
          <w:szCs w:val="15"/>
          <w:lang w:val="en-US" w:eastAsia="zh-CN"/>
        </w:rPr>
        <w:t>组织</w:t>
      </w:r>
      <w:r>
        <w:rPr>
          <w:rFonts w:hint="default" w:ascii="Times New Roman" w:hAnsi="Times New Roman" w:eastAsia="宋体" w:cs="Times New Roman"/>
          <w:color w:val="000000"/>
          <w:sz w:val="15"/>
          <w:szCs w:val="15"/>
        </w:rPr>
        <w:t>切片置于</w:t>
      </w:r>
      <w:r>
        <w:rPr>
          <w:rFonts w:hint="eastAsia" w:ascii="Times New Roman" w:hAnsi="Times New Roman" w:cs="Times New Roman"/>
          <w:color w:val="000000"/>
          <w:sz w:val="15"/>
          <w:szCs w:val="15"/>
          <w:lang w:val="en-US" w:eastAsia="zh-CN"/>
        </w:rPr>
        <w:t>新鲜</w:t>
      </w:r>
      <w:r>
        <w:rPr>
          <w:rFonts w:hint="default" w:ascii="Times New Roman" w:hAnsi="Times New Roman" w:eastAsia="宋体" w:cs="Times New Roman"/>
          <w:color w:val="000000"/>
          <w:sz w:val="15"/>
          <w:szCs w:val="15"/>
        </w:rPr>
        <w:t>二甲苯中，浸泡</w:t>
      </w:r>
      <w:r>
        <w:rPr>
          <w:rFonts w:hint="default" w:ascii="Times New Roman" w:hAnsi="Times New Roman" w:eastAsia="宋体" w:cs="Times New Roman"/>
          <w:color w:val="000000"/>
          <w:sz w:val="15"/>
          <w:szCs w:val="15"/>
          <w:lang w:val="en-US" w:eastAsia="zh-CN"/>
        </w:rPr>
        <w:t>5~10</w:t>
      </w:r>
      <w:r>
        <w:rPr>
          <w:rFonts w:hint="default" w:ascii="Times New Roman" w:hAnsi="Times New Roman" w:eastAsia="宋体" w:cs="Times New Roman"/>
          <w:color w:val="000000"/>
          <w:sz w:val="15"/>
          <w:szCs w:val="15"/>
        </w:rPr>
        <w:t>分钟；</w:t>
      </w:r>
    </w:p>
    <w:p w14:paraId="4A3764CB">
      <w:pPr>
        <w:snapToGrid w:val="0"/>
        <w:spacing w:before="100" w:beforeAutospacing="1" w:after="100" w:afterAutospacing="1"/>
        <w:ind w:firstLine="300" w:firstLineChars="200"/>
        <w:contextualSpacing/>
        <w:rPr>
          <w:rFonts w:ascii="宋体" w:hAnsi="宋体" w:cs="宋体"/>
          <w:color w:val="000000"/>
          <w:sz w:val="15"/>
          <w:szCs w:val="15"/>
        </w:rPr>
      </w:pPr>
      <w:r>
        <w:rPr>
          <w:rFonts w:hint="default" w:ascii="Times New Roman" w:hAnsi="Times New Roman" w:eastAsia="宋体" w:cs="Times New Roman"/>
          <w:color w:val="000000"/>
          <w:sz w:val="15"/>
          <w:szCs w:val="15"/>
          <w:lang w:val="en-US" w:eastAsia="zh-CN"/>
        </w:rPr>
        <w:t>（3）待</w:t>
      </w:r>
      <w:r>
        <w:rPr>
          <w:rFonts w:hint="eastAsia" w:ascii="Times New Roman" w:hAnsi="Times New Roman" w:cs="Times New Roman"/>
          <w:color w:val="000000"/>
          <w:sz w:val="15"/>
          <w:szCs w:val="15"/>
          <w:lang w:val="en-US" w:eastAsia="zh-CN"/>
        </w:rPr>
        <w:t>组织</w:t>
      </w:r>
      <w:r>
        <w:rPr>
          <w:rFonts w:hint="default" w:ascii="Times New Roman" w:hAnsi="Times New Roman" w:eastAsia="宋体" w:cs="Times New Roman"/>
          <w:color w:val="000000"/>
          <w:sz w:val="15"/>
          <w:szCs w:val="15"/>
          <w:lang w:val="en-US" w:eastAsia="zh-CN"/>
        </w:rPr>
        <w:t>切片呈透亮状态后即可使用</w:t>
      </w:r>
      <w:r>
        <w:rPr>
          <w:rFonts w:hint="default" w:ascii="Times New Roman" w:hAnsi="Times New Roman" w:eastAsia="宋体" w:cs="Times New Roman"/>
          <w:color w:val="000000"/>
          <w:sz w:val="15"/>
          <w:szCs w:val="15"/>
        </w:rPr>
        <w:t>中性树胶和盖玻片封片</w:t>
      </w:r>
      <w:r>
        <w:rPr>
          <w:rFonts w:hint="eastAsia" w:ascii="宋体" w:hAnsi="宋体" w:cs="宋体"/>
          <w:color w:val="000000"/>
          <w:sz w:val="15"/>
          <w:szCs w:val="15"/>
        </w:rPr>
        <w:t>。</w:t>
      </w:r>
    </w:p>
    <w:p w14:paraId="4A229E3B">
      <w:pPr>
        <w:numPr>
          <w:ilvl w:val="0"/>
          <w:numId w:val="1"/>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结果判读：</w:t>
      </w:r>
    </w:p>
    <w:p w14:paraId="2D1D1926">
      <w:pPr>
        <w:snapToGrid w:val="0"/>
        <w:spacing w:before="100" w:beforeAutospacing="1" w:after="100" w:afterAutospacing="1"/>
        <w:ind w:firstLine="300" w:firstLineChars="200"/>
        <w:contextualSpacing/>
        <w:rPr>
          <w:rFonts w:ascii="宋体" w:hAnsi="宋体" w:cs="宋体"/>
          <w:color w:val="000000"/>
          <w:sz w:val="15"/>
          <w:szCs w:val="15"/>
        </w:rPr>
      </w:pPr>
      <w:r>
        <w:rPr>
          <w:rFonts w:hint="eastAsia" w:ascii="宋体" w:hAnsi="宋体" w:cs="宋体"/>
          <w:color w:val="000000"/>
          <w:sz w:val="15"/>
          <w:szCs w:val="15"/>
        </w:rPr>
        <w:t>免疫组化染色结果要由有经验的专业人员在光学显微镜下对染色后的切片进行观察并进行判读。</w:t>
      </w:r>
    </w:p>
    <w:p w14:paraId="505A86DE">
      <w:pPr>
        <w:snapToGrid w:val="0"/>
        <w:spacing w:before="100" w:beforeAutospacing="1" w:after="100" w:afterAutospacing="1"/>
        <w:contextualSpacing/>
        <w:rPr>
          <w:rFonts w:ascii="宋体" w:hAnsi="宋体" w:cs="宋体"/>
          <w:b/>
          <w:color w:val="000000"/>
          <w:sz w:val="15"/>
          <w:szCs w:val="15"/>
        </w:rPr>
      </w:pPr>
      <w:r>
        <w:rPr>
          <w:rFonts w:hint="eastAsia" w:ascii="宋体" w:hAnsi="宋体" w:cs="宋体"/>
          <w:b/>
          <w:color w:val="000000"/>
          <w:sz w:val="15"/>
          <w:szCs w:val="15"/>
        </w:rPr>
        <w:t>【质量控制】</w:t>
      </w:r>
    </w:p>
    <w:p w14:paraId="3BF4D81A">
      <w:pPr>
        <w:snapToGrid w:val="0"/>
        <w:spacing w:before="100" w:beforeAutospacing="1" w:after="100" w:afterAutospacing="1"/>
        <w:ind w:firstLine="300" w:firstLineChars="200"/>
        <w:contextualSpacing/>
        <w:rPr>
          <w:rFonts w:ascii="宋体" w:hAnsi="宋体" w:cs="宋体"/>
          <w:color w:val="000000"/>
          <w:sz w:val="15"/>
          <w:szCs w:val="15"/>
        </w:rPr>
      </w:pPr>
      <w:r>
        <w:rPr>
          <w:rFonts w:hint="eastAsia" w:ascii="宋体" w:hAnsi="宋体" w:cs="宋体"/>
          <w:color w:val="000000"/>
          <w:sz w:val="15"/>
          <w:szCs w:val="15"/>
        </w:rPr>
        <w:t>在开始解读待检标本的染色结果前，应该先对试剂对照及组织对照等一系列质控的染色结果进行分析确认，与已知的阳性和阴性结果对比，并参考既往质控的染色结果。只有一系列对照都显示了与已知相符的染色结果，待检标本的染色结果才被认为是有效的。一次完整的免疫组化实验应设立阳性组织对照、阴性组织对照以及空白(或阴性)试剂对照，以确保整个实验过程是准确可控的。</w:t>
      </w:r>
    </w:p>
    <w:p w14:paraId="3B13350A">
      <w:pPr>
        <w:snapToGrid w:val="0"/>
        <w:spacing w:before="100" w:beforeAutospacing="1" w:after="100" w:afterAutospacing="1"/>
        <w:ind w:firstLine="301" w:firstLineChars="200"/>
        <w:contextualSpacing/>
        <w:rPr>
          <w:rFonts w:ascii="宋体" w:hAnsi="宋体" w:cs="宋体"/>
          <w:color w:val="000000"/>
          <w:sz w:val="15"/>
          <w:szCs w:val="15"/>
        </w:rPr>
      </w:pPr>
      <w:r>
        <w:rPr>
          <w:rFonts w:hint="eastAsia" w:ascii="宋体" w:hAnsi="宋体" w:cs="宋体"/>
          <w:b/>
          <w:color w:val="000000"/>
          <w:sz w:val="15"/>
          <w:szCs w:val="15"/>
        </w:rPr>
        <w:t>阳性组织对照</w:t>
      </w:r>
      <w:r>
        <w:rPr>
          <w:rFonts w:hint="eastAsia" w:ascii="宋体" w:hAnsi="宋体" w:cs="宋体"/>
          <w:color w:val="000000"/>
          <w:sz w:val="15"/>
          <w:szCs w:val="15"/>
        </w:rPr>
        <w:t>应该是新鲜的活检或手术标本，按照与待检标本相同的方法进行固定、前处理及石蜡包埋制片的。理想的阳性组织对照应该已知含有被测抗原</w:t>
      </w:r>
      <w:r>
        <w:rPr>
          <w:rFonts w:hint="eastAsia" w:ascii="宋体" w:hAnsi="宋体" w:cs="宋体"/>
          <w:b/>
          <w:bCs/>
          <w:color w:val="000000"/>
          <w:sz w:val="15"/>
          <w:szCs w:val="15"/>
        </w:rPr>
        <w:t>高表达</w:t>
      </w:r>
      <w:r>
        <w:rPr>
          <w:rFonts w:hint="eastAsia" w:ascii="宋体" w:hAnsi="宋体" w:cs="宋体"/>
          <w:color w:val="000000"/>
          <w:sz w:val="15"/>
          <w:szCs w:val="15"/>
        </w:rPr>
        <w:t>及</w:t>
      </w:r>
      <w:r>
        <w:rPr>
          <w:rFonts w:hint="eastAsia" w:ascii="宋体" w:hAnsi="宋体" w:cs="宋体"/>
          <w:b/>
          <w:bCs/>
          <w:color w:val="000000"/>
          <w:sz w:val="15"/>
          <w:szCs w:val="15"/>
        </w:rPr>
        <w:t>低表达</w:t>
      </w:r>
      <w:r>
        <w:rPr>
          <w:rFonts w:hint="eastAsia" w:ascii="宋体" w:hAnsi="宋体" w:cs="宋体"/>
          <w:color w:val="000000"/>
          <w:sz w:val="15"/>
          <w:szCs w:val="15"/>
        </w:rPr>
        <w:t>二种情况，以确保实验结果能体现出不同待检标本中的不同抗原表达水平，尤其可避免漏检低表达的病例。正常的阳性组织对照染色结果表明待检标本组织制备正确，染色方法适当。每次染色实验均需要设立阳性组织对照。如果阳性组织对照未能显示正确的阳性染色，则该次待检标本的染色结果应该被认为是无效的。（</w:t>
      </w:r>
      <w:r>
        <w:rPr>
          <w:rFonts w:hint="eastAsia" w:ascii="宋体" w:hAnsi="宋体" w:cs="宋体"/>
          <w:b/>
          <w:bCs/>
          <w:color w:val="000000"/>
          <w:sz w:val="15"/>
          <w:szCs w:val="15"/>
        </w:rPr>
        <w:t>注：</w:t>
      </w:r>
      <w:r>
        <w:rPr>
          <w:rFonts w:hint="eastAsia" w:ascii="宋体" w:hAnsi="宋体" w:cs="宋体"/>
          <w:color w:val="000000"/>
          <w:sz w:val="15"/>
          <w:szCs w:val="15"/>
        </w:rPr>
        <w:t>阳性组织对照染色结果正常仅能表明实验流程及试剂的性能符合要求，并不能作为待检标本染色结果特异性的评价标准。）</w:t>
      </w:r>
    </w:p>
    <w:p w14:paraId="6AE68112">
      <w:pPr>
        <w:snapToGrid w:val="0"/>
        <w:spacing w:before="100" w:beforeAutospacing="1" w:after="100" w:afterAutospacing="1"/>
        <w:ind w:firstLine="301" w:firstLineChars="200"/>
        <w:contextualSpacing/>
        <w:rPr>
          <w:rFonts w:ascii="宋体" w:hAnsi="宋体" w:cs="宋体"/>
          <w:color w:val="000000"/>
          <w:sz w:val="15"/>
          <w:szCs w:val="15"/>
        </w:rPr>
      </w:pPr>
      <w:r>
        <w:rPr>
          <w:rFonts w:hint="eastAsia" w:ascii="宋体" w:hAnsi="宋体" w:cs="宋体"/>
          <w:b/>
          <w:color w:val="000000"/>
          <w:sz w:val="15"/>
          <w:szCs w:val="15"/>
        </w:rPr>
        <w:t>阴性组织对照</w:t>
      </w:r>
      <w:r>
        <w:rPr>
          <w:rFonts w:hint="eastAsia" w:ascii="宋体" w:hAnsi="宋体" w:cs="宋体"/>
          <w:color w:val="000000"/>
          <w:sz w:val="15"/>
          <w:szCs w:val="15"/>
        </w:rPr>
        <w:t>也应是按照与待检标本相同的方法进行固定、前处理及石蜡包埋制片的，并且已知其中没有被测抗原的表达。每次染色实验均需要设立阴性组织对照，以确认抗体的性能，并能够提供特异性染色的背景。大多数时候待检标本组织切片内会含有不同的细胞类型，那些阴性的细胞可作为内部的阴性组织对照。如果阴性组织对照出现了特异性阳性染色，则该次待检标本的染色结果应该被认为是无效的。</w:t>
      </w:r>
    </w:p>
    <w:p w14:paraId="27F27179">
      <w:pPr>
        <w:snapToGrid w:val="0"/>
        <w:spacing w:before="100" w:beforeAutospacing="1" w:after="100" w:afterAutospacing="1"/>
        <w:ind w:firstLine="301" w:firstLineChars="200"/>
        <w:contextualSpacing/>
        <w:rPr>
          <w:rFonts w:ascii="宋体" w:hAnsi="宋体" w:cs="宋体"/>
          <w:color w:val="000000"/>
          <w:sz w:val="15"/>
          <w:szCs w:val="15"/>
        </w:rPr>
      </w:pPr>
      <w:r>
        <w:rPr>
          <w:rFonts w:hint="eastAsia" w:ascii="宋体" w:hAnsi="宋体" w:cs="宋体"/>
          <w:b/>
          <w:color w:val="000000"/>
          <w:sz w:val="15"/>
          <w:szCs w:val="15"/>
        </w:rPr>
        <w:t>空白(或阴性)试剂对照</w:t>
      </w:r>
      <w:r>
        <w:rPr>
          <w:rFonts w:hint="eastAsia" w:ascii="宋体" w:hAnsi="宋体" w:cs="宋体"/>
          <w:color w:val="000000"/>
          <w:sz w:val="15"/>
          <w:szCs w:val="15"/>
        </w:rPr>
        <w:t>可选择用PBS缓冲液或与一抗同源的IgG替代一抗进行实验，目的是评估一抗的特异性染色，判断是否存在非特异性着色，并对抗原部位特异性染色提供更好的解释。空白(或阴性)对照试剂的孵育时间和温度应与一抗一致。</w:t>
      </w:r>
    </w:p>
    <w:p w14:paraId="1AF7F205">
      <w:pPr>
        <w:snapToGrid w:val="0"/>
        <w:spacing w:before="100" w:beforeAutospacing="1" w:after="100" w:afterAutospacing="1"/>
        <w:contextualSpacing/>
        <w:rPr>
          <w:rFonts w:ascii="宋体" w:hAnsi="宋体" w:cs="宋体"/>
          <w:b/>
          <w:color w:val="000000"/>
          <w:sz w:val="15"/>
          <w:szCs w:val="15"/>
        </w:rPr>
      </w:pPr>
      <w:r>
        <w:rPr>
          <w:rFonts w:hint="eastAsia" w:ascii="宋体" w:hAnsi="宋体" w:cs="宋体"/>
          <w:b/>
          <w:color w:val="000000"/>
          <w:sz w:val="15"/>
          <w:szCs w:val="15"/>
        </w:rPr>
        <w:t>【染色结果的解释】</w:t>
      </w:r>
    </w:p>
    <w:p w14:paraId="350C7319">
      <w:pPr>
        <w:snapToGrid w:val="0"/>
        <w:spacing w:before="100" w:beforeAutospacing="1" w:after="100" w:afterAutospacing="1"/>
        <w:ind w:firstLine="300" w:firstLineChars="200"/>
        <w:contextualSpacing/>
        <w:rPr>
          <w:rFonts w:ascii="宋体" w:hAnsi="宋体" w:cs="宋体"/>
          <w:color w:val="000000"/>
          <w:sz w:val="15"/>
          <w:szCs w:val="15"/>
        </w:rPr>
      </w:pPr>
      <w:r>
        <w:rPr>
          <w:rFonts w:hint="eastAsia" w:ascii="宋体" w:hAnsi="宋体" w:cs="宋体"/>
          <w:color w:val="000000"/>
          <w:sz w:val="15"/>
          <w:szCs w:val="15"/>
        </w:rPr>
        <w:t>免疫组化染色结果要由有经验的专业人员在光学显微镜下对染色后的切片进行观察并进行判读。</w:t>
      </w:r>
    </w:p>
    <w:p w14:paraId="39A85249">
      <w:pPr>
        <w:numPr>
          <w:ilvl w:val="0"/>
          <w:numId w:val="4"/>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免疫组化染色结果应该建立在一系列对照染色结果都正常的基础上，否则该次染色结果应该被认为是无效的。</w:t>
      </w:r>
    </w:p>
    <w:p w14:paraId="096989F2">
      <w:pPr>
        <w:numPr>
          <w:ilvl w:val="0"/>
          <w:numId w:val="4"/>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染色结果阳性（+）：在一系列对照染色结果都正常的基础上，受检组织切片中特定细胞的特定部位见有棕黄色着色，且无背景染色，表示被测抗原存在表达。</w:t>
      </w:r>
    </w:p>
    <w:p w14:paraId="30DDD112">
      <w:pPr>
        <w:numPr>
          <w:ilvl w:val="0"/>
          <w:numId w:val="4"/>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染色结果阴性（-）：在一系列对照染色结果都正常的基础上，受检组织切片中特定细胞中未见棕黄色着色，表示被测抗原无表达或表达量极低。</w:t>
      </w:r>
    </w:p>
    <w:p w14:paraId="000F8A2F">
      <w:pPr>
        <w:snapToGrid w:val="0"/>
        <w:spacing w:before="100" w:beforeAutospacing="1" w:after="100" w:afterAutospacing="1"/>
        <w:contextualSpacing/>
        <w:rPr>
          <w:rFonts w:ascii="宋体" w:hAnsi="宋体" w:cs="宋体"/>
          <w:b/>
          <w:color w:val="000000"/>
          <w:sz w:val="15"/>
          <w:szCs w:val="15"/>
        </w:rPr>
      </w:pPr>
      <w:r>
        <w:rPr>
          <w:rFonts w:hint="eastAsia" w:ascii="宋体" w:hAnsi="宋体" w:cs="宋体"/>
          <w:b/>
          <w:color w:val="000000"/>
          <w:sz w:val="15"/>
          <w:szCs w:val="15"/>
        </w:rPr>
        <w:t>【染色方法的局限性】</w:t>
      </w:r>
    </w:p>
    <w:p w14:paraId="6F34EFC2">
      <w:pPr>
        <w:numPr>
          <w:ilvl w:val="0"/>
          <w:numId w:val="5"/>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标本的固定和前处理、组织的抗原修复、抗体孵育温度及时间或其他实验条件的改变都有可能影响染色结果的正确性。</w:t>
      </w:r>
    </w:p>
    <w:p w14:paraId="5CDED8A4">
      <w:pPr>
        <w:numPr>
          <w:ilvl w:val="0"/>
          <w:numId w:val="5"/>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在每一次染色过程中，应该设立空白(或阴性)试剂对照、阳性组织对照及阴性组织对照，且所有对照染色结果都应正常，否则该次实验被认为是无效的。</w:t>
      </w:r>
    </w:p>
    <w:p w14:paraId="6C29FA18">
      <w:pPr>
        <w:numPr>
          <w:ilvl w:val="0"/>
          <w:numId w:val="5"/>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完整的免疫组化实验过程有多个步骤，包括试剂的选择，组织的选择，固定和处理，切片的准备，染色及结果解释。染色前组织的处理方式能直接影响染色效果。不恰当的固定、冰冻、熔化、清洗、烘干、切片或被其他组织或液体污染都可能造成假阳性，抗体定位不准确或假阴性结果。固定和包埋方法的不同或是组织内部的不规则也可能造成异常的染色结果。同时，过度或不充分的复染也可能影响结果的正确解释。</w:t>
      </w:r>
    </w:p>
    <w:p w14:paraId="216C67DA">
      <w:pPr>
        <w:numPr>
          <w:ilvl w:val="0"/>
          <w:numId w:val="5"/>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sz w:val="15"/>
          <w:szCs w:val="15"/>
        </w:rPr>
        <w:t>对免疫组化染色结果的解读应结合病理形态学及其它资料进行</w:t>
      </w:r>
      <w:r>
        <w:rPr>
          <w:rFonts w:hint="eastAsia" w:ascii="宋体" w:hAnsi="宋体" w:cs="宋体"/>
          <w:color w:val="000000"/>
          <w:sz w:val="15"/>
          <w:szCs w:val="15"/>
        </w:rPr>
        <w:t>。任何染色或其缺失的解释都应以形态学、正确的对照以及其他试验作为补充。</w:t>
      </w:r>
    </w:p>
    <w:p w14:paraId="56D8D6DB">
      <w:pPr>
        <w:numPr>
          <w:ilvl w:val="0"/>
          <w:numId w:val="5"/>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试剂可能在未经测试的组织中出现非预期的反应。由于肿瘤或其他病态组织中的抗原表达具有生物变异性，因此无法完全消除被测组织出现非预期反应的可能性。</w:t>
      </w:r>
    </w:p>
    <w:p w14:paraId="57B78665">
      <w:pPr>
        <w:numPr>
          <w:ilvl w:val="0"/>
          <w:numId w:val="5"/>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假阳性的结果可能会由于蛋白或底物反应产物的非免疫学结合造成的。它们也可能会由红血球和细胞色素 C 造成的。</w:t>
      </w:r>
    </w:p>
    <w:p w14:paraId="36ABADAE">
      <w:pPr>
        <w:snapToGrid w:val="0"/>
        <w:spacing w:before="100" w:beforeAutospacing="1" w:after="100" w:afterAutospacing="1"/>
        <w:contextualSpacing/>
        <w:rPr>
          <w:rFonts w:ascii="宋体" w:hAnsi="宋体" w:cs="宋体"/>
          <w:b/>
          <w:color w:val="000000"/>
          <w:sz w:val="15"/>
          <w:szCs w:val="15"/>
        </w:rPr>
      </w:pPr>
      <w:r>
        <w:rPr>
          <w:rFonts w:hint="eastAsia" w:ascii="宋体" w:hAnsi="宋体" w:cs="宋体"/>
          <w:b/>
          <w:color w:val="000000"/>
          <w:sz w:val="15"/>
          <w:szCs w:val="15"/>
        </w:rPr>
        <w:t>【注意事项】</w:t>
      </w:r>
    </w:p>
    <w:p w14:paraId="7332AFA5">
      <w:pPr>
        <w:numPr>
          <w:ilvl w:val="0"/>
          <w:numId w:val="6"/>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本产品仅用于研究，不做其它用途。</w:t>
      </w:r>
    </w:p>
    <w:p w14:paraId="7A89390F">
      <w:pPr>
        <w:numPr>
          <w:ilvl w:val="0"/>
          <w:numId w:val="6"/>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本产品需由专业人员使用。</w:t>
      </w:r>
    </w:p>
    <w:p w14:paraId="7D5EF8D8">
      <w:pPr>
        <w:numPr>
          <w:ilvl w:val="0"/>
          <w:numId w:val="6"/>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本产品含有生物来源材料，对其进行处理应符合相关要求。</w:t>
      </w:r>
    </w:p>
    <w:p w14:paraId="3F7D752C">
      <w:pPr>
        <w:numPr>
          <w:ilvl w:val="0"/>
          <w:numId w:val="6"/>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应用适当的防护措施，以避免试剂同皮肤和眼睛接触。</w:t>
      </w:r>
    </w:p>
    <w:p w14:paraId="4B04F8D1">
      <w:pPr>
        <w:numPr>
          <w:ilvl w:val="0"/>
          <w:numId w:val="6"/>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本产品是否适用于非福尔马林固定组织还未得到证实。</w:t>
      </w:r>
    </w:p>
    <w:p w14:paraId="18CA4FFB">
      <w:pPr>
        <w:numPr>
          <w:ilvl w:val="0"/>
          <w:numId w:val="6"/>
        </w:numPr>
        <w:snapToGrid w:val="0"/>
        <w:spacing w:before="100" w:beforeAutospacing="1" w:after="100" w:afterAutospacing="1"/>
        <w:contextualSpacing/>
        <w:rPr>
          <w:rFonts w:ascii="宋体" w:hAnsi="宋体" w:cs="宋体"/>
          <w:color w:val="000000"/>
          <w:sz w:val="15"/>
          <w:szCs w:val="15"/>
        </w:rPr>
      </w:pPr>
      <w:r>
        <w:rPr>
          <w:rFonts w:hint="eastAsia" w:ascii="宋体" w:hAnsi="宋体" w:cs="宋体"/>
          <w:color w:val="000000"/>
          <w:sz w:val="15"/>
          <w:szCs w:val="15"/>
        </w:rPr>
        <w:t>本产品含有叠氮钠作为防腐剂，叠氮钠可以和铅铜反应而形成易爆炸的金属叠氮化合物。为防止金属叠氮化合物的形成，应用大量的水冲洗以免其堆积。</w:t>
      </w:r>
    </w:p>
    <w:p w14:paraId="246B12CC">
      <w:pPr>
        <w:snapToGrid w:val="0"/>
        <w:contextualSpacing/>
        <w:rPr>
          <w:rFonts w:ascii="宋体" w:hAnsi="宋体" w:cs="宋体"/>
          <w:b/>
          <w:color w:val="000000"/>
          <w:sz w:val="15"/>
          <w:szCs w:val="15"/>
        </w:rPr>
      </w:pPr>
      <w:r>
        <w:rPr>
          <w:rFonts w:hint="eastAsia" w:ascii="宋体" w:hAnsi="宋体" w:cs="宋体"/>
          <w:b/>
          <w:color w:val="000000"/>
          <w:sz w:val="15"/>
          <w:szCs w:val="15"/>
        </w:rPr>
        <w:t>【参考文献】</w:t>
      </w:r>
    </w:p>
    <w:p w14:paraId="3ABCE1F1">
      <w:pPr>
        <w:pStyle w:val="13"/>
        <w:rPr>
          <w:bCs/>
          <w:sz w:val="15"/>
          <w:szCs w:val="15"/>
        </w:rPr>
      </w:pPr>
      <w:r>
        <w:rPr>
          <w:bCs/>
          <w:sz w:val="15"/>
          <w:szCs w:val="15"/>
        </w:rPr>
        <w:t>1.</w:t>
      </w:r>
      <w:r>
        <w:rPr>
          <w:bCs/>
          <w:sz w:val="15"/>
          <w:szCs w:val="15"/>
        </w:rPr>
        <w:tab/>
      </w:r>
      <w:r>
        <w:rPr>
          <w:bCs/>
          <w:sz w:val="15"/>
          <w:szCs w:val="15"/>
        </w:rPr>
        <w:t>Cano G,et al. Diaqn Cytopathol,2003;29(4):207-11.</w:t>
      </w:r>
    </w:p>
    <w:p w14:paraId="005B3098">
      <w:pPr>
        <w:pStyle w:val="13"/>
        <w:rPr>
          <w:bCs/>
          <w:sz w:val="15"/>
          <w:szCs w:val="15"/>
        </w:rPr>
      </w:pPr>
      <w:r>
        <w:rPr>
          <w:bCs/>
          <w:sz w:val="15"/>
          <w:szCs w:val="15"/>
        </w:rPr>
        <w:t>2.</w:t>
      </w:r>
      <w:r>
        <w:rPr>
          <w:bCs/>
          <w:sz w:val="15"/>
          <w:szCs w:val="15"/>
        </w:rPr>
        <w:tab/>
      </w:r>
      <w:r>
        <w:rPr>
          <w:bCs/>
          <w:sz w:val="15"/>
          <w:szCs w:val="15"/>
        </w:rPr>
        <w:t>Huang Z,et al. Applied Immunohistochemistry and Molecular Morphology,2005.</w:t>
      </w:r>
    </w:p>
    <w:p w14:paraId="1F59835A">
      <w:pPr>
        <w:snapToGrid w:val="0"/>
        <w:rPr>
          <w:rFonts w:hint="eastAsia" w:ascii="宋体" w:hAnsi="宋体" w:eastAsia="宋体" w:cs="宋体"/>
          <w:sz w:val="15"/>
          <w:szCs w:val="15"/>
          <w:lang w:val="en-US" w:eastAsia="zh-CN"/>
        </w:rPr>
      </w:pPr>
      <w:r>
        <w:rPr>
          <w:rFonts w:hint="eastAsia" w:ascii="宋体" w:hAnsi="宋体" w:eastAsia="宋体" w:cs="宋体"/>
          <w:b/>
          <w:color w:val="000000"/>
          <w:sz w:val="15"/>
          <w:szCs w:val="15"/>
        </w:rPr>
        <w:t>【生产企业】</w:t>
      </w:r>
    </w:p>
    <w:p w14:paraId="1A78361E">
      <w:pPr>
        <w:snapToGrid w:val="0"/>
        <w:spacing w:before="100" w:beforeAutospacing="1" w:after="100" w:afterAutospacing="1"/>
        <w:contextualSpacing/>
        <w:rPr>
          <w:rFonts w:hint="eastAsia" w:ascii="宋体" w:hAnsi="宋体" w:eastAsia="宋体" w:cs="宋体"/>
          <w:b/>
          <w:sz w:val="15"/>
          <w:szCs w:val="15"/>
        </w:rPr>
      </w:pPr>
      <w:r>
        <w:rPr>
          <w:rFonts w:hint="eastAsia" w:ascii="宋体" w:hAnsi="宋体" w:eastAsia="宋体" w:cs="宋体"/>
          <w:b/>
          <w:sz w:val="15"/>
          <w:szCs w:val="15"/>
        </w:rPr>
        <w:t>广州勉易生物科技有限公司</w:t>
      </w:r>
    </w:p>
    <w:p w14:paraId="569364DF">
      <w:pPr>
        <w:snapToGrid w:val="0"/>
        <w:spacing w:before="100" w:beforeAutospacing="1" w:after="100" w:afterAutospacing="1"/>
        <w:contextualSpacing/>
        <w:rPr>
          <w:rFonts w:hint="eastAsia" w:ascii="宋体" w:hAnsi="宋体" w:eastAsia="宋体" w:cs="宋体"/>
          <w:b/>
          <w:sz w:val="15"/>
          <w:szCs w:val="15"/>
        </w:rPr>
      </w:pPr>
      <w:r>
        <w:rPr>
          <w:rFonts w:hint="eastAsia" w:ascii="宋体" w:hAnsi="宋体" w:eastAsia="宋体" w:cs="宋体"/>
          <w:b/>
          <w:sz w:val="15"/>
          <w:szCs w:val="15"/>
        </w:rPr>
        <w:t>Myabtech Biological Inc.</w:t>
      </w:r>
    </w:p>
    <w:tbl>
      <w:tblPr>
        <w:tblStyle w:val="5"/>
        <w:tblW w:w="5354" w:type="dxa"/>
        <w:tblInd w:w="0" w:type="dxa"/>
        <w:tblLayout w:type="autofit"/>
        <w:tblCellMar>
          <w:top w:w="0" w:type="dxa"/>
          <w:left w:w="108" w:type="dxa"/>
          <w:bottom w:w="0" w:type="dxa"/>
          <w:right w:w="108" w:type="dxa"/>
        </w:tblCellMar>
      </w:tblPr>
      <w:tblGrid>
        <w:gridCol w:w="1041"/>
        <w:gridCol w:w="4313"/>
      </w:tblGrid>
      <w:tr w14:paraId="64543EE9">
        <w:tblPrEx>
          <w:tblCellMar>
            <w:top w:w="0" w:type="dxa"/>
            <w:left w:w="108" w:type="dxa"/>
            <w:bottom w:w="0" w:type="dxa"/>
            <w:right w:w="108" w:type="dxa"/>
          </w:tblCellMar>
        </w:tblPrEx>
        <w:tc>
          <w:tcPr>
            <w:tcW w:w="1041" w:type="dxa"/>
          </w:tcPr>
          <w:p w14:paraId="44E93787">
            <w:pPr>
              <w:snapToGrid w:val="0"/>
              <w:spacing w:before="100" w:beforeAutospacing="1" w:after="100" w:afterAutospacing="1"/>
              <w:contextualSpacing/>
              <w:jc w:val="left"/>
              <w:rPr>
                <w:rStyle w:val="8"/>
                <w:rFonts w:hint="eastAsia" w:ascii="宋体" w:hAnsi="宋体" w:eastAsia="宋体" w:cs="宋体"/>
                <w:sz w:val="15"/>
                <w:szCs w:val="15"/>
              </w:rPr>
            </w:pPr>
            <w:r>
              <w:rPr>
                <w:rStyle w:val="8"/>
                <w:rFonts w:hint="eastAsia" w:ascii="宋体" w:hAnsi="宋体" w:eastAsia="宋体" w:cs="宋体"/>
                <w:b w:val="0"/>
                <w:sz w:val="15"/>
                <w:szCs w:val="15"/>
              </w:rPr>
              <w:t>地    址：</w:t>
            </w:r>
          </w:p>
        </w:tc>
        <w:tc>
          <w:tcPr>
            <w:tcW w:w="4313" w:type="dxa"/>
          </w:tcPr>
          <w:p w14:paraId="6BCA7A0C">
            <w:pPr>
              <w:snapToGrid w:val="0"/>
              <w:spacing w:before="100" w:beforeAutospacing="1" w:after="100" w:afterAutospacing="1"/>
              <w:contextualSpacing/>
              <w:jc w:val="left"/>
              <w:rPr>
                <w:rStyle w:val="8"/>
                <w:rFonts w:hint="eastAsia" w:ascii="宋体" w:hAnsi="宋体" w:eastAsia="宋体" w:cs="宋体"/>
                <w:b w:val="0"/>
                <w:sz w:val="15"/>
                <w:szCs w:val="15"/>
              </w:rPr>
            </w:pPr>
            <w:r>
              <w:rPr>
                <w:rStyle w:val="8"/>
                <w:rFonts w:hint="eastAsia" w:ascii="宋体" w:hAnsi="宋体" w:eastAsia="宋体" w:cs="宋体"/>
                <w:b w:val="0"/>
                <w:sz w:val="15"/>
                <w:szCs w:val="15"/>
              </w:rPr>
              <w:t>广州市黄埔区神舟路 18 号润慧</w:t>
            </w:r>
            <w:bookmarkStart w:id="0" w:name="_GoBack"/>
            <w:r>
              <w:rPr>
                <w:rStyle w:val="8"/>
                <w:rFonts w:hint="eastAsia" w:ascii="宋体" w:hAnsi="宋体" w:eastAsia="宋体" w:cs="宋体"/>
                <w:b w:val="0"/>
                <w:sz w:val="15"/>
                <w:szCs w:val="15"/>
              </w:rPr>
              <w:t>科技园</w:t>
            </w:r>
            <w:bookmarkEnd w:id="0"/>
            <w:r>
              <w:rPr>
                <w:rStyle w:val="8"/>
                <w:rFonts w:hint="eastAsia" w:ascii="宋体" w:hAnsi="宋体" w:eastAsia="宋体" w:cs="宋体"/>
                <w:b w:val="0"/>
                <w:sz w:val="15"/>
                <w:szCs w:val="15"/>
              </w:rPr>
              <w:t>5栋（自编号C-3）1402房</w:t>
            </w:r>
          </w:p>
        </w:tc>
      </w:tr>
      <w:tr w14:paraId="704B14ED">
        <w:tblPrEx>
          <w:tblCellMar>
            <w:top w:w="0" w:type="dxa"/>
            <w:left w:w="108" w:type="dxa"/>
            <w:bottom w:w="0" w:type="dxa"/>
            <w:right w:w="108" w:type="dxa"/>
          </w:tblCellMar>
        </w:tblPrEx>
        <w:tc>
          <w:tcPr>
            <w:tcW w:w="1041" w:type="dxa"/>
          </w:tcPr>
          <w:p w14:paraId="2CD82B2D">
            <w:pPr>
              <w:snapToGrid w:val="0"/>
              <w:spacing w:before="100" w:beforeAutospacing="1" w:after="100" w:afterAutospacing="1"/>
              <w:contextualSpacing/>
              <w:rPr>
                <w:rStyle w:val="8"/>
                <w:rFonts w:hint="eastAsia" w:ascii="宋体" w:hAnsi="宋体" w:eastAsia="宋体" w:cs="宋体"/>
                <w:b w:val="0"/>
                <w:sz w:val="15"/>
                <w:szCs w:val="15"/>
              </w:rPr>
            </w:pPr>
            <w:r>
              <w:rPr>
                <w:rStyle w:val="8"/>
                <w:rFonts w:hint="eastAsia" w:ascii="宋体" w:hAnsi="宋体" w:eastAsia="宋体" w:cs="宋体"/>
                <w:b w:val="0"/>
                <w:sz w:val="15"/>
                <w:szCs w:val="15"/>
              </w:rPr>
              <w:t>电话号码：</w:t>
            </w:r>
          </w:p>
        </w:tc>
        <w:tc>
          <w:tcPr>
            <w:tcW w:w="4313" w:type="dxa"/>
          </w:tcPr>
          <w:p w14:paraId="3FA56F67">
            <w:pPr>
              <w:snapToGrid w:val="0"/>
              <w:spacing w:before="100" w:beforeAutospacing="1" w:after="100" w:afterAutospacing="1"/>
              <w:contextualSpacing/>
              <w:jc w:val="left"/>
              <w:rPr>
                <w:rStyle w:val="8"/>
                <w:rFonts w:hint="eastAsia" w:ascii="宋体" w:hAnsi="宋体" w:eastAsia="宋体" w:cs="宋体"/>
                <w:sz w:val="15"/>
                <w:szCs w:val="15"/>
              </w:rPr>
            </w:pPr>
            <w:r>
              <w:rPr>
                <w:rStyle w:val="8"/>
                <w:rFonts w:hint="eastAsia" w:ascii="宋体" w:hAnsi="宋体" w:eastAsia="宋体" w:cs="宋体"/>
                <w:b w:val="0"/>
                <w:sz w:val="15"/>
                <w:szCs w:val="15"/>
              </w:rPr>
              <w:t>020-89858157</w:t>
            </w:r>
          </w:p>
        </w:tc>
      </w:tr>
      <w:tr w14:paraId="7ECE9687">
        <w:tblPrEx>
          <w:tblCellMar>
            <w:top w:w="0" w:type="dxa"/>
            <w:left w:w="108" w:type="dxa"/>
            <w:bottom w:w="0" w:type="dxa"/>
            <w:right w:w="108" w:type="dxa"/>
          </w:tblCellMar>
        </w:tblPrEx>
        <w:tc>
          <w:tcPr>
            <w:tcW w:w="1041" w:type="dxa"/>
          </w:tcPr>
          <w:p w14:paraId="4B1C2245">
            <w:pPr>
              <w:snapToGrid w:val="0"/>
              <w:spacing w:before="100" w:beforeAutospacing="1" w:after="100" w:afterAutospacing="1"/>
              <w:contextualSpacing/>
              <w:rPr>
                <w:rStyle w:val="8"/>
                <w:rFonts w:hint="eastAsia" w:ascii="宋体" w:hAnsi="宋体" w:eastAsia="宋体" w:cs="宋体"/>
                <w:b w:val="0"/>
                <w:sz w:val="15"/>
                <w:szCs w:val="15"/>
              </w:rPr>
            </w:pPr>
            <w:r>
              <w:rPr>
                <w:rStyle w:val="8"/>
                <w:rFonts w:hint="eastAsia" w:ascii="宋体" w:hAnsi="宋体" w:eastAsia="宋体" w:cs="宋体"/>
                <w:b w:val="0"/>
                <w:bCs w:val="0"/>
                <w:sz w:val="15"/>
                <w:szCs w:val="15"/>
              </w:rPr>
              <w:t>Address</w:t>
            </w:r>
          </w:p>
        </w:tc>
        <w:tc>
          <w:tcPr>
            <w:tcW w:w="4313" w:type="dxa"/>
          </w:tcPr>
          <w:p w14:paraId="2ED3CDDC">
            <w:pPr>
              <w:snapToGrid w:val="0"/>
              <w:spacing w:before="100" w:beforeAutospacing="1" w:after="100" w:afterAutospacing="1"/>
              <w:contextualSpacing/>
              <w:jc w:val="left"/>
              <w:rPr>
                <w:rStyle w:val="8"/>
                <w:rFonts w:hint="eastAsia" w:ascii="宋体" w:hAnsi="宋体" w:eastAsia="宋体" w:cs="宋体"/>
                <w:b w:val="0"/>
                <w:sz w:val="15"/>
                <w:szCs w:val="15"/>
              </w:rPr>
            </w:pPr>
            <w:r>
              <w:rPr>
                <w:rStyle w:val="8"/>
                <w:rFonts w:hint="eastAsia" w:ascii="宋体" w:hAnsi="宋体" w:eastAsia="宋体" w:cs="宋体"/>
                <w:b w:val="0"/>
                <w:sz w:val="15"/>
                <w:szCs w:val="15"/>
              </w:rPr>
              <w:t>Room 1402, Building F (Self-designated C-3), No. 18 Shenzhou Road, Huangpu District, Guangzhou City</w:t>
            </w:r>
          </w:p>
        </w:tc>
      </w:tr>
      <w:tr w14:paraId="75437848">
        <w:tblPrEx>
          <w:tblCellMar>
            <w:top w:w="0" w:type="dxa"/>
            <w:left w:w="108" w:type="dxa"/>
            <w:bottom w:w="0" w:type="dxa"/>
            <w:right w:w="108" w:type="dxa"/>
          </w:tblCellMar>
        </w:tblPrEx>
        <w:tc>
          <w:tcPr>
            <w:tcW w:w="1041" w:type="dxa"/>
          </w:tcPr>
          <w:p w14:paraId="62D429C5">
            <w:pPr>
              <w:snapToGrid w:val="0"/>
              <w:spacing w:before="100" w:beforeAutospacing="1" w:after="100" w:afterAutospacing="1"/>
              <w:contextualSpacing/>
              <w:jc w:val="left"/>
              <w:rPr>
                <w:rStyle w:val="8"/>
                <w:rFonts w:hint="eastAsia" w:ascii="宋体" w:hAnsi="宋体" w:eastAsia="宋体" w:cs="宋体"/>
                <w:b w:val="0"/>
                <w:bCs w:val="0"/>
                <w:sz w:val="15"/>
                <w:szCs w:val="15"/>
              </w:rPr>
            </w:pPr>
            <w:r>
              <w:rPr>
                <w:rStyle w:val="8"/>
                <w:rFonts w:hint="eastAsia" w:ascii="宋体" w:hAnsi="宋体" w:eastAsia="宋体" w:cs="宋体"/>
                <w:b w:val="0"/>
                <w:bCs w:val="0"/>
                <w:sz w:val="15"/>
                <w:szCs w:val="15"/>
              </w:rPr>
              <w:t>Telephone</w:t>
            </w:r>
          </w:p>
        </w:tc>
        <w:tc>
          <w:tcPr>
            <w:tcW w:w="4313" w:type="dxa"/>
          </w:tcPr>
          <w:p w14:paraId="1C2DAE0A">
            <w:pPr>
              <w:snapToGrid w:val="0"/>
              <w:spacing w:before="100" w:beforeAutospacing="1" w:after="100" w:afterAutospacing="1"/>
              <w:contextualSpacing/>
              <w:rPr>
                <w:rStyle w:val="8"/>
                <w:rFonts w:hint="eastAsia" w:ascii="宋体" w:hAnsi="宋体" w:eastAsia="宋体" w:cs="宋体"/>
                <w:b w:val="0"/>
                <w:bCs w:val="0"/>
                <w:sz w:val="15"/>
                <w:szCs w:val="15"/>
              </w:rPr>
            </w:pPr>
            <w:r>
              <w:rPr>
                <w:rStyle w:val="8"/>
                <w:rFonts w:hint="eastAsia" w:ascii="宋体" w:hAnsi="宋体" w:eastAsia="宋体" w:cs="宋体"/>
                <w:b w:val="0"/>
                <w:sz w:val="15"/>
                <w:szCs w:val="15"/>
              </w:rPr>
              <w:t>020-89858157</w:t>
            </w:r>
          </w:p>
        </w:tc>
      </w:tr>
    </w:tbl>
    <w:p w14:paraId="06A379C0">
      <w:pPr>
        <w:snapToGrid w:val="0"/>
        <w:spacing w:before="100" w:beforeAutospacing="1" w:after="100" w:afterAutospacing="1"/>
        <w:contextualSpacing/>
        <w:rPr>
          <w:rFonts w:ascii="宋体" w:hAnsi="宋体" w:cs="宋体"/>
          <w:bCs/>
          <w:sz w:val="15"/>
          <w:szCs w:val="15"/>
        </w:rPr>
      </w:pPr>
    </w:p>
    <w:p w14:paraId="00E4191C">
      <w:pPr>
        <w:snapToGrid w:val="0"/>
        <w:spacing w:before="100" w:beforeAutospacing="1" w:after="100" w:afterAutospacing="1"/>
        <w:contextualSpacing/>
        <w:rPr>
          <w:rFonts w:ascii="宋体" w:hAnsi="宋体" w:cs="宋体"/>
          <w:bCs/>
          <w:sz w:val="15"/>
          <w:szCs w:val="15"/>
        </w:rPr>
      </w:pPr>
    </w:p>
    <w:p w14:paraId="49A3FBB2">
      <w:pPr>
        <w:snapToGrid w:val="0"/>
        <w:spacing w:before="100" w:beforeAutospacing="1" w:after="100" w:afterAutospacing="1"/>
        <w:contextualSpacing/>
        <w:rPr>
          <w:rFonts w:ascii="宋体" w:hAnsi="宋体" w:cs="宋体"/>
          <w:bCs/>
          <w:sz w:val="15"/>
          <w:szCs w:val="15"/>
        </w:rPr>
      </w:pPr>
    </w:p>
    <w:sectPr>
      <w:pgSz w:w="11850" w:h="16783"/>
      <w:pgMar w:top="567" w:right="567" w:bottom="567" w:left="567" w:header="851" w:footer="992" w:gutter="0"/>
      <w:cols w:equalWidth="0" w:num="2">
        <w:col w:w="5145" w:space="425"/>
        <w:col w:w="514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E5CAE"/>
    <w:multiLevelType w:val="multilevel"/>
    <w:tmpl w:val="BF9E5C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F9AF0212"/>
    <w:multiLevelType w:val="multilevel"/>
    <w:tmpl w:val="F9AF0212"/>
    <w:lvl w:ilvl="0" w:tentative="0">
      <w:start w:val="1"/>
      <w:numFmt w:val="upperLetter"/>
      <w:suff w:val="nothing"/>
      <w:lvlText w:val="%1、"/>
      <w:lvlJc w:val="left"/>
      <w:pPr>
        <w:ind w:left="360" w:hanging="17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D35190"/>
    <w:multiLevelType w:val="multilevel"/>
    <w:tmpl w:val="2CD351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FBF217"/>
    <w:multiLevelType w:val="singleLevel"/>
    <w:tmpl w:val="33FBF217"/>
    <w:lvl w:ilvl="0" w:tentative="0">
      <w:start w:val="1"/>
      <w:numFmt w:val="decimal"/>
      <w:suff w:val="nothing"/>
      <w:lvlText w:val="（%1）"/>
      <w:lvlJc w:val="left"/>
    </w:lvl>
  </w:abstractNum>
  <w:abstractNum w:abstractNumId="4">
    <w:nsid w:val="3EDF27E0"/>
    <w:multiLevelType w:val="multilevel"/>
    <w:tmpl w:val="3EDF27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87D32CE"/>
    <w:multiLevelType w:val="multilevel"/>
    <w:tmpl w:val="787D32CE"/>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xZjkwYTA4NjNhMWI4NmZlMjc3ODgyYzM0MWRjZjEifQ=="/>
  </w:docVars>
  <w:rsids>
    <w:rsidRoot w:val="00172A27"/>
    <w:rsid w:val="00007546"/>
    <w:rsid w:val="00010351"/>
    <w:rsid w:val="00010EA7"/>
    <w:rsid w:val="00012D48"/>
    <w:rsid w:val="00031088"/>
    <w:rsid w:val="000315D9"/>
    <w:rsid w:val="000400DB"/>
    <w:rsid w:val="000449FB"/>
    <w:rsid w:val="00057084"/>
    <w:rsid w:val="00064478"/>
    <w:rsid w:val="000848D8"/>
    <w:rsid w:val="0009095E"/>
    <w:rsid w:val="000918B5"/>
    <w:rsid w:val="000919F0"/>
    <w:rsid w:val="000A01F3"/>
    <w:rsid w:val="000B55AD"/>
    <w:rsid w:val="000C1198"/>
    <w:rsid w:val="000C5C5E"/>
    <w:rsid w:val="000C5F9A"/>
    <w:rsid w:val="000C6845"/>
    <w:rsid w:val="000D5010"/>
    <w:rsid w:val="000E4B9E"/>
    <w:rsid w:val="000E4C19"/>
    <w:rsid w:val="000F1D8E"/>
    <w:rsid w:val="000F6003"/>
    <w:rsid w:val="0010308A"/>
    <w:rsid w:val="00105E21"/>
    <w:rsid w:val="00106D76"/>
    <w:rsid w:val="00120938"/>
    <w:rsid w:val="0012488E"/>
    <w:rsid w:val="00135546"/>
    <w:rsid w:val="00143539"/>
    <w:rsid w:val="00147617"/>
    <w:rsid w:val="0015152F"/>
    <w:rsid w:val="00152A59"/>
    <w:rsid w:val="00152E45"/>
    <w:rsid w:val="0015399B"/>
    <w:rsid w:val="001638E6"/>
    <w:rsid w:val="00164E05"/>
    <w:rsid w:val="00165AE5"/>
    <w:rsid w:val="00172A27"/>
    <w:rsid w:val="001A685D"/>
    <w:rsid w:val="001A7ADC"/>
    <w:rsid w:val="001B17B1"/>
    <w:rsid w:val="001B3C07"/>
    <w:rsid w:val="001B78DB"/>
    <w:rsid w:val="001B7F08"/>
    <w:rsid w:val="001C01E5"/>
    <w:rsid w:val="001C1ED3"/>
    <w:rsid w:val="001C6672"/>
    <w:rsid w:val="001D4CDE"/>
    <w:rsid w:val="001D55ED"/>
    <w:rsid w:val="001E426D"/>
    <w:rsid w:val="001F36B5"/>
    <w:rsid w:val="00203168"/>
    <w:rsid w:val="00204BF6"/>
    <w:rsid w:val="00206E6E"/>
    <w:rsid w:val="00216497"/>
    <w:rsid w:val="002169BA"/>
    <w:rsid w:val="00227218"/>
    <w:rsid w:val="00230905"/>
    <w:rsid w:val="0023780A"/>
    <w:rsid w:val="002464B5"/>
    <w:rsid w:val="002607AD"/>
    <w:rsid w:val="00263C21"/>
    <w:rsid w:val="00272DC2"/>
    <w:rsid w:val="00274216"/>
    <w:rsid w:val="00292D2F"/>
    <w:rsid w:val="00294E46"/>
    <w:rsid w:val="002957D8"/>
    <w:rsid w:val="00295888"/>
    <w:rsid w:val="002A5FCF"/>
    <w:rsid w:val="002B0E58"/>
    <w:rsid w:val="002C0CFE"/>
    <w:rsid w:val="002D348F"/>
    <w:rsid w:val="002D3908"/>
    <w:rsid w:val="002D5233"/>
    <w:rsid w:val="002F50F3"/>
    <w:rsid w:val="00300C3C"/>
    <w:rsid w:val="003015D2"/>
    <w:rsid w:val="00302235"/>
    <w:rsid w:val="0031351A"/>
    <w:rsid w:val="00315E39"/>
    <w:rsid w:val="00317B61"/>
    <w:rsid w:val="003328ED"/>
    <w:rsid w:val="00334508"/>
    <w:rsid w:val="00340044"/>
    <w:rsid w:val="0034088D"/>
    <w:rsid w:val="00345AAB"/>
    <w:rsid w:val="00346D2B"/>
    <w:rsid w:val="00351949"/>
    <w:rsid w:val="00362983"/>
    <w:rsid w:val="00365602"/>
    <w:rsid w:val="00366A7E"/>
    <w:rsid w:val="00366E8A"/>
    <w:rsid w:val="003834B6"/>
    <w:rsid w:val="003909FB"/>
    <w:rsid w:val="003926D9"/>
    <w:rsid w:val="003A4622"/>
    <w:rsid w:val="003B1022"/>
    <w:rsid w:val="003C49B8"/>
    <w:rsid w:val="003C6947"/>
    <w:rsid w:val="003D37F9"/>
    <w:rsid w:val="003E3512"/>
    <w:rsid w:val="003F2500"/>
    <w:rsid w:val="00403683"/>
    <w:rsid w:val="0040497C"/>
    <w:rsid w:val="00410BFD"/>
    <w:rsid w:val="004219DD"/>
    <w:rsid w:val="00421A3E"/>
    <w:rsid w:val="00426FAB"/>
    <w:rsid w:val="00433EAB"/>
    <w:rsid w:val="00435C4E"/>
    <w:rsid w:val="00441D9C"/>
    <w:rsid w:val="00443F9A"/>
    <w:rsid w:val="00451ACE"/>
    <w:rsid w:val="00451C74"/>
    <w:rsid w:val="00454FBA"/>
    <w:rsid w:val="004569B1"/>
    <w:rsid w:val="0046146B"/>
    <w:rsid w:val="0047524F"/>
    <w:rsid w:val="004802F4"/>
    <w:rsid w:val="00483826"/>
    <w:rsid w:val="0048452F"/>
    <w:rsid w:val="00493AE7"/>
    <w:rsid w:val="004954D2"/>
    <w:rsid w:val="00495F3B"/>
    <w:rsid w:val="004B0C13"/>
    <w:rsid w:val="004B3E86"/>
    <w:rsid w:val="004D5421"/>
    <w:rsid w:val="004D5A04"/>
    <w:rsid w:val="004E4523"/>
    <w:rsid w:val="004F688F"/>
    <w:rsid w:val="004F7065"/>
    <w:rsid w:val="004F7678"/>
    <w:rsid w:val="0050044B"/>
    <w:rsid w:val="005022E0"/>
    <w:rsid w:val="005024D9"/>
    <w:rsid w:val="005032F1"/>
    <w:rsid w:val="0050412D"/>
    <w:rsid w:val="0051127C"/>
    <w:rsid w:val="00516071"/>
    <w:rsid w:val="00533836"/>
    <w:rsid w:val="00545ACE"/>
    <w:rsid w:val="00545B6D"/>
    <w:rsid w:val="00554014"/>
    <w:rsid w:val="00567C24"/>
    <w:rsid w:val="00581665"/>
    <w:rsid w:val="00592152"/>
    <w:rsid w:val="005A0379"/>
    <w:rsid w:val="005B1FF3"/>
    <w:rsid w:val="005B7A53"/>
    <w:rsid w:val="005C62BB"/>
    <w:rsid w:val="005E2238"/>
    <w:rsid w:val="005E3C24"/>
    <w:rsid w:val="005E4CEB"/>
    <w:rsid w:val="005E7420"/>
    <w:rsid w:val="00604115"/>
    <w:rsid w:val="00612E4C"/>
    <w:rsid w:val="00616400"/>
    <w:rsid w:val="00623062"/>
    <w:rsid w:val="00636275"/>
    <w:rsid w:val="00637F15"/>
    <w:rsid w:val="0064034A"/>
    <w:rsid w:val="00642309"/>
    <w:rsid w:val="00642E34"/>
    <w:rsid w:val="00643904"/>
    <w:rsid w:val="00644920"/>
    <w:rsid w:val="00645204"/>
    <w:rsid w:val="00650E41"/>
    <w:rsid w:val="006539E0"/>
    <w:rsid w:val="00654EB9"/>
    <w:rsid w:val="00660DCD"/>
    <w:rsid w:val="006643FB"/>
    <w:rsid w:val="006725E2"/>
    <w:rsid w:val="00683C99"/>
    <w:rsid w:val="00684EF3"/>
    <w:rsid w:val="0069478C"/>
    <w:rsid w:val="006A524A"/>
    <w:rsid w:val="006A79C9"/>
    <w:rsid w:val="006B3EB9"/>
    <w:rsid w:val="006B7D3B"/>
    <w:rsid w:val="006C5AD3"/>
    <w:rsid w:val="006D02EF"/>
    <w:rsid w:val="006D1409"/>
    <w:rsid w:val="006D4DC0"/>
    <w:rsid w:val="006E41F4"/>
    <w:rsid w:val="006E484A"/>
    <w:rsid w:val="006E618F"/>
    <w:rsid w:val="007056D7"/>
    <w:rsid w:val="00710A1F"/>
    <w:rsid w:val="007126D5"/>
    <w:rsid w:val="0071783E"/>
    <w:rsid w:val="00730BA2"/>
    <w:rsid w:val="00740196"/>
    <w:rsid w:val="0074050F"/>
    <w:rsid w:val="007507C8"/>
    <w:rsid w:val="007714D4"/>
    <w:rsid w:val="0078734D"/>
    <w:rsid w:val="00794A45"/>
    <w:rsid w:val="007A2DDB"/>
    <w:rsid w:val="007A64AE"/>
    <w:rsid w:val="007E44FC"/>
    <w:rsid w:val="007E59C1"/>
    <w:rsid w:val="007F4780"/>
    <w:rsid w:val="00800539"/>
    <w:rsid w:val="008155FC"/>
    <w:rsid w:val="00820842"/>
    <w:rsid w:val="0082385A"/>
    <w:rsid w:val="00823F9D"/>
    <w:rsid w:val="00832B5F"/>
    <w:rsid w:val="008428F3"/>
    <w:rsid w:val="0085012A"/>
    <w:rsid w:val="008505C2"/>
    <w:rsid w:val="00851C17"/>
    <w:rsid w:val="00852BEA"/>
    <w:rsid w:val="008532CC"/>
    <w:rsid w:val="0085536C"/>
    <w:rsid w:val="0085612E"/>
    <w:rsid w:val="008626CB"/>
    <w:rsid w:val="0086622B"/>
    <w:rsid w:val="00876032"/>
    <w:rsid w:val="00892C43"/>
    <w:rsid w:val="008A14AF"/>
    <w:rsid w:val="008A4AB0"/>
    <w:rsid w:val="008B04BC"/>
    <w:rsid w:val="008B4CC5"/>
    <w:rsid w:val="008D5593"/>
    <w:rsid w:val="008F69E2"/>
    <w:rsid w:val="00903863"/>
    <w:rsid w:val="00906A7D"/>
    <w:rsid w:val="009254D4"/>
    <w:rsid w:val="00957C8E"/>
    <w:rsid w:val="009708FE"/>
    <w:rsid w:val="0097649D"/>
    <w:rsid w:val="009939BC"/>
    <w:rsid w:val="009C3050"/>
    <w:rsid w:val="009D11FD"/>
    <w:rsid w:val="009D1F0D"/>
    <w:rsid w:val="009E0733"/>
    <w:rsid w:val="009E2268"/>
    <w:rsid w:val="009F290C"/>
    <w:rsid w:val="009F502A"/>
    <w:rsid w:val="009F6704"/>
    <w:rsid w:val="00A03A32"/>
    <w:rsid w:val="00A13F3D"/>
    <w:rsid w:val="00A15DEA"/>
    <w:rsid w:val="00A477C9"/>
    <w:rsid w:val="00A55E31"/>
    <w:rsid w:val="00A6035B"/>
    <w:rsid w:val="00A63DAF"/>
    <w:rsid w:val="00A7255C"/>
    <w:rsid w:val="00A73EDA"/>
    <w:rsid w:val="00A844EC"/>
    <w:rsid w:val="00A87FEB"/>
    <w:rsid w:val="00A91662"/>
    <w:rsid w:val="00A92020"/>
    <w:rsid w:val="00A93D8B"/>
    <w:rsid w:val="00AA0DE8"/>
    <w:rsid w:val="00AB24ED"/>
    <w:rsid w:val="00AB480C"/>
    <w:rsid w:val="00AC0449"/>
    <w:rsid w:val="00AC424C"/>
    <w:rsid w:val="00AD14B6"/>
    <w:rsid w:val="00AD3BFF"/>
    <w:rsid w:val="00AD44E1"/>
    <w:rsid w:val="00AE49BB"/>
    <w:rsid w:val="00AE4E7E"/>
    <w:rsid w:val="00AF12C3"/>
    <w:rsid w:val="00AF1818"/>
    <w:rsid w:val="00B003B2"/>
    <w:rsid w:val="00B009E7"/>
    <w:rsid w:val="00B01CAC"/>
    <w:rsid w:val="00B11CB9"/>
    <w:rsid w:val="00B22885"/>
    <w:rsid w:val="00B40132"/>
    <w:rsid w:val="00B42061"/>
    <w:rsid w:val="00B42955"/>
    <w:rsid w:val="00B45A2E"/>
    <w:rsid w:val="00B46C8E"/>
    <w:rsid w:val="00B4767A"/>
    <w:rsid w:val="00B50138"/>
    <w:rsid w:val="00B5104D"/>
    <w:rsid w:val="00B54301"/>
    <w:rsid w:val="00B6356A"/>
    <w:rsid w:val="00B6703D"/>
    <w:rsid w:val="00B75693"/>
    <w:rsid w:val="00B81521"/>
    <w:rsid w:val="00B82FB7"/>
    <w:rsid w:val="00B8437E"/>
    <w:rsid w:val="00B852B5"/>
    <w:rsid w:val="00B85AB8"/>
    <w:rsid w:val="00B95B49"/>
    <w:rsid w:val="00BA1368"/>
    <w:rsid w:val="00BB2423"/>
    <w:rsid w:val="00BB2946"/>
    <w:rsid w:val="00BC5DA3"/>
    <w:rsid w:val="00C12521"/>
    <w:rsid w:val="00C46500"/>
    <w:rsid w:val="00C52FD1"/>
    <w:rsid w:val="00C631E9"/>
    <w:rsid w:val="00C81533"/>
    <w:rsid w:val="00C82A0E"/>
    <w:rsid w:val="00C86AD9"/>
    <w:rsid w:val="00C978AC"/>
    <w:rsid w:val="00CA767B"/>
    <w:rsid w:val="00CB027E"/>
    <w:rsid w:val="00CB2725"/>
    <w:rsid w:val="00CB32FD"/>
    <w:rsid w:val="00CC1A48"/>
    <w:rsid w:val="00CD16E5"/>
    <w:rsid w:val="00CD315F"/>
    <w:rsid w:val="00CD3C06"/>
    <w:rsid w:val="00CF7165"/>
    <w:rsid w:val="00D14055"/>
    <w:rsid w:val="00D16CD1"/>
    <w:rsid w:val="00D21499"/>
    <w:rsid w:val="00D240A6"/>
    <w:rsid w:val="00D2584B"/>
    <w:rsid w:val="00D47857"/>
    <w:rsid w:val="00D557F0"/>
    <w:rsid w:val="00D56A7A"/>
    <w:rsid w:val="00D624D7"/>
    <w:rsid w:val="00D6277F"/>
    <w:rsid w:val="00D65EE1"/>
    <w:rsid w:val="00D666C9"/>
    <w:rsid w:val="00D6703D"/>
    <w:rsid w:val="00D70E3B"/>
    <w:rsid w:val="00D72192"/>
    <w:rsid w:val="00D75C44"/>
    <w:rsid w:val="00D84C10"/>
    <w:rsid w:val="00D84FB2"/>
    <w:rsid w:val="00D91028"/>
    <w:rsid w:val="00D95D26"/>
    <w:rsid w:val="00DA75E9"/>
    <w:rsid w:val="00DA7B52"/>
    <w:rsid w:val="00DB32E1"/>
    <w:rsid w:val="00DE2E50"/>
    <w:rsid w:val="00DF37CE"/>
    <w:rsid w:val="00E02560"/>
    <w:rsid w:val="00E04449"/>
    <w:rsid w:val="00E068A1"/>
    <w:rsid w:val="00E1325A"/>
    <w:rsid w:val="00E17348"/>
    <w:rsid w:val="00E32758"/>
    <w:rsid w:val="00E33D3C"/>
    <w:rsid w:val="00E46533"/>
    <w:rsid w:val="00E54D17"/>
    <w:rsid w:val="00E602BA"/>
    <w:rsid w:val="00E61C9F"/>
    <w:rsid w:val="00E85630"/>
    <w:rsid w:val="00EA4CB2"/>
    <w:rsid w:val="00EA5257"/>
    <w:rsid w:val="00EB05E4"/>
    <w:rsid w:val="00EB39F4"/>
    <w:rsid w:val="00EB3C25"/>
    <w:rsid w:val="00EB7AB3"/>
    <w:rsid w:val="00EB7FE9"/>
    <w:rsid w:val="00EC1379"/>
    <w:rsid w:val="00EC4754"/>
    <w:rsid w:val="00ED0C4B"/>
    <w:rsid w:val="00EE1916"/>
    <w:rsid w:val="00F10A0A"/>
    <w:rsid w:val="00F22FFB"/>
    <w:rsid w:val="00F2781D"/>
    <w:rsid w:val="00F5007A"/>
    <w:rsid w:val="00F5154D"/>
    <w:rsid w:val="00F51967"/>
    <w:rsid w:val="00F711D0"/>
    <w:rsid w:val="00F74968"/>
    <w:rsid w:val="00F81490"/>
    <w:rsid w:val="00F83E4B"/>
    <w:rsid w:val="00FA361A"/>
    <w:rsid w:val="00FA4B92"/>
    <w:rsid w:val="00FA6777"/>
    <w:rsid w:val="00FA7736"/>
    <w:rsid w:val="00FB4769"/>
    <w:rsid w:val="00FC4F59"/>
    <w:rsid w:val="00FD3CAA"/>
    <w:rsid w:val="00FF2B01"/>
    <w:rsid w:val="00FF4157"/>
    <w:rsid w:val="00FF466E"/>
    <w:rsid w:val="01663670"/>
    <w:rsid w:val="05BD48B3"/>
    <w:rsid w:val="08B9188E"/>
    <w:rsid w:val="08E74403"/>
    <w:rsid w:val="0901528B"/>
    <w:rsid w:val="0D435F51"/>
    <w:rsid w:val="0DF75D1B"/>
    <w:rsid w:val="0E2E233C"/>
    <w:rsid w:val="0F893B07"/>
    <w:rsid w:val="0F907B3A"/>
    <w:rsid w:val="10DD757C"/>
    <w:rsid w:val="15567899"/>
    <w:rsid w:val="15955785"/>
    <w:rsid w:val="163C512E"/>
    <w:rsid w:val="17C616D7"/>
    <w:rsid w:val="18955B58"/>
    <w:rsid w:val="19C038B6"/>
    <w:rsid w:val="1B6209EA"/>
    <w:rsid w:val="1BEE1395"/>
    <w:rsid w:val="1C826B0B"/>
    <w:rsid w:val="1D877A7A"/>
    <w:rsid w:val="1EAC233D"/>
    <w:rsid w:val="2446238C"/>
    <w:rsid w:val="2446729A"/>
    <w:rsid w:val="263C02CD"/>
    <w:rsid w:val="26984DF9"/>
    <w:rsid w:val="26F3165A"/>
    <w:rsid w:val="29E2296D"/>
    <w:rsid w:val="2A02676A"/>
    <w:rsid w:val="2A516C62"/>
    <w:rsid w:val="2AAB5C01"/>
    <w:rsid w:val="31283606"/>
    <w:rsid w:val="31CB7D39"/>
    <w:rsid w:val="3205251C"/>
    <w:rsid w:val="33461EC0"/>
    <w:rsid w:val="346A23DA"/>
    <w:rsid w:val="354B5293"/>
    <w:rsid w:val="38977362"/>
    <w:rsid w:val="39D579E3"/>
    <w:rsid w:val="3D8C79E2"/>
    <w:rsid w:val="3F432E7D"/>
    <w:rsid w:val="3F9D6598"/>
    <w:rsid w:val="3FBB5EF5"/>
    <w:rsid w:val="41703A0E"/>
    <w:rsid w:val="44F046D1"/>
    <w:rsid w:val="45874BF4"/>
    <w:rsid w:val="486D42D1"/>
    <w:rsid w:val="4A370FBF"/>
    <w:rsid w:val="4ACA35F4"/>
    <w:rsid w:val="4ADB6E3C"/>
    <w:rsid w:val="4F1C7F03"/>
    <w:rsid w:val="4F5327F5"/>
    <w:rsid w:val="50305BD5"/>
    <w:rsid w:val="50B01761"/>
    <w:rsid w:val="50E517A4"/>
    <w:rsid w:val="51870D71"/>
    <w:rsid w:val="537A5F56"/>
    <w:rsid w:val="5500715D"/>
    <w:rsid w:val="559C475F"/>
    <w:rsid w:val="55CD0480"/>
    <w:rsid w:val="5F6516AF"/>
    <w:rsid w:val="5F6F43F2"/>
    <w:rsid w:val="610F5EED"/>
    <w:rsid w:val="638F2D7E"/>
    <w:rsid w:val="639966F8"/>
    <w:rsid w:val="663209BC"/>
    <w:rsid w:val="6660462E"/>
    <w:rsid w:val="682F16BC"/>
    <w:rsid w:val="690F4436"/>
    <w:rsid w:val="69164B9A"/>
    <w:rsid w:val="6EE50338"/>
    <w:rsid w:val="706D3964"/>
    <w:rsid w:val="72C4751B"/>
    <w:rsid w:val="72EC574D"/>
    <w:rsid w:val="74876002"/>
    <w:rsid w:val="79533C50"/>
    <w:rsid w:val="7CD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6"/>
      <w:szCs w:val="16"/>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Strong"/>
    <w:basedOn w:val="7"/>
    <w:qFormat/>
    <w:uiPriority w:val="0"/>
    <w:rPr>
      <w:b/>
      <w:bCs/>
    </w:rPr>
  </w:style>
  <w:style w:type="paragraph" w:styleId="9">
    <w:name w:val="List Paragraph"/>
    <w:basedOn w:val="1"/>
    <w:qFormat/>
    <w:uiPriority w:val="0"/>
    <w:pPr>
      <w:ind w:firstLine="420" w:firstLineChars="200"/>
    </w:pPr>
  </w:style>
  <w:style w:type="character" w:customStyle="1" w:styleId="10">
    <w:name w:val="页眉 字符"/>
    <w:basedOn w:val="7"/>
    <w:link w:val="4"/>
    <w:qFormat/>
    <w:uiPriority w:val="99"/>
    <w:rPr>
      <w:kern w:val="2"/>
      <w:sz w:val="18"/>
      <w:szCs w:val="18"/>
    </w:rPr>
  </w:style>
  <w:style w:type="character" w:customStyle="1" w:styleId="11">
    <w:name w:val="页脚 字符"/>
    <w:basedOn w:val="7"/>
    <w:link w:val="3"/>
    <w:qFormat/>
    <w:uiPriority w:val="99"/>
    <w:rPr>
      <w:kern w:val="2"/>
      <w:sz w:val="18"/>
      <w:szCs w:val="18"/>
    </w:rPr>
  </w:style>
  <w:style w:type="character" w:customStyle="1" w:styleId="12">
    <w:name w:val="批注框文本 字符"/>
    <w:basedOn w:val="7"/>
    <w:link w:val="2"/>
    <w:semiHidden/>
    <w:qFormat/>
    <w:uiPriority w:val="99"/>
    <w:rPr>
      <w:kern w:val="2"/>
      <w:sz w:val="16"/>
      <w:szCs w:val="16"/>
    </w:rPr>
  </w:style>
  <w:style w:type="paragraph" w:customStyle="1" w:styleId="13">
    <w:name w:val="书目1"/>
    <w:basedOn w:val="1"/>
    <w:next w:val="1"/>
    <w:link w:val="15"/>
    <w:unhideWhenUsed/>
    <w:qFormat/>
    <w:uiPriority w:val="37"/>
    <w:pPr>
      <w:tabs>
        <w:tab w:val="left" w:pos="384"/>
      </w:tabs>
      <w:ind w:left="384" w:hanging="384"/>
    </w:pPr>
  </w:style>
  <w:style w:type="paragraph" w:customStyle="1" w:styleId="14">
    <w:name w:val="my书目"/>
    <w:basedOn w:val="13"/>
    <w:next w:val="1"/>
    <w:link w:val="16"/>
    <w:qFormat/>
    <w:uiPriority w:val="0"/>
    <w:pPr>
      <w:adjustRightInd w:val="0"/>
      <w:snapToGrid w:val="0"/>
      <w:ind w:left="386" w:hanging="386"/>
    </w:pPr>
    <w:rPr>
      <w:rFonts w:ascii="宋体" w:hAnsi="宋体"/>
      <w:sz w:val="15"/>
    </w:rPr>
  </w:style>
  <w:style w:type="character" w:customStyle="1" w:styleId="15">
    <w:name w:val="书目 字符"/>
    <w:basedOn w:val="7"/>
    <w:link w:val="13"/>
    <w:qFormat/>
    <w:uiPriority w:val="37"/>
    <w:rPr>
      <w:kern w:val="2"/>
      <w:sz w:val="21"/>
    </w:rPr>
  </w:style>
  <w:style w:type="character" w:customStyle="1" w:styleId="16">
    <w:name w:val="my书目 字符"/>
    <w:basedOn w:val="15"/>
    <w:link w:val="14"/>
    <w:qFormat/>
    <w:uiPriority w:val="0"/>
    <w:rPr>
      <w:rFonts w:ascii="宋体" w:hAnsi="宋体"/>
      <w:kern w:val="2"/>
      <w:sz w:val="1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4457</Words>
  <Characters>5051</Characters>
  <Lines>34</Lines>
  <Paragraphs>9</Paragraphs>
  <TotalTime>0</TotalTime>
  <ScaleCrop>false</ScaleCrop>
  <LinksUpToDate>false</LinksUpToDate>
  <CharactersWithSpaces>5122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2021-01-13T08:44:00Z</dcterms:created>
  <dc:creator>cp</dc:creator>
  <cp:lastModifiedBy>勉易生物</cp:lastModifiedBy>
  <cp:lastPrinted>2016-05-26T00:44:00Z</cp:lastPrinted>
  <dcterms:modified xsi:type="dcterms:W3CDTF">2025-03-28T07:24:02Z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ZOTERO_PREF_1">
    <vt:lpwstr>&lt;data data-version="3" zotero-version="5.0.88"&gt;&lt;session id="4C3SZZ1t"/&gt;&lt;style id="http://www.zotero.org/styles/01" locale="en-US"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y fmtid="{D5CDD505-2E9C-101B-9397-08002B2CF9AE}" pid="5" name="ICV">
    <vt:lpwstr>E7E1BAB54F6B49D796CBF2D827BD15C3_12</vt:lpwstr>
  </property>
</Properties>
</file>